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90" w:type="dxa"/>
        <w:tblLayout w:type="fixed"/>
        <w:tblCellMar>
          <w:left w:w="70" w:type="dxa"/>
          <w:right w:w="70" w:type="dxa"/>
        </w:tblCellMar>
        <w:tblLook w:val="0000" w:firstRow="0" w:lastRow="0" w:firstColumn="0" w:lastColumn="0" w:noHBand="0" w:noVBand="0"/>
      </w:tblPr>
      <w:tblGrid>
        <w:gridCol w:w="6323"/>
        <w:gridCol w:w="3267"/>
      </w:tblGrid>
      <w:tr w:rsidR="008A7FD1" w:rsidRPr="008A7FD1" w14:paraId="52EBDAD6" w14:textId="77777777">
        <w:trPr>
          <w:cantSplit/>
        </w:trPr>
        <w:tc>
          <w:tcPr>
            <w:tcW w:w="4795" w:type="dxa"/>
          </w:tcPr>
          <w:p w14:paraId="56DBD07D" w14:textId="77777777" w:rsidR="008A7FD1" w:rsidRPr="008A7FD1" w:rsidRDefault="008A7FD1" w:rsidP="008962E7">
            <w:pPr>
              <w:pStyle w:val="zSoquijdatRepertorie"/>
            </w:pPr>
          </w:p>
        </w:tc>
        <w:tc>
          <w:tcPr>
            <w:tcW w:w="2477" w:type="dxa"/>
          </w:tcPr>
          <w:p w14:paraId="49DA3338" w14:textId="77777777" w:rsidR="008A7FD1" w:rsidRPr="008A7FD1" w:rsidRDefault="008A7FD1" w:rsidP="008962E7">
            <w:pPr>
              <w:pStyle w:val="zSoquijdatRefNeutre"/>
            </w:pPr>
          </w:p>
        </w:tc>
      </w:tr>
    </w:tbl>
    <w:p w14:paraId="3D37285F" w14:textId="77777777" w:rsidR="008A7FD1" w:rsidRDefault="008A7FD1"/>
    <w:tbl>
      <w:tblPr>
        <w:tblW w:w="9568" w:type="dxa"/>
        <w:tblLayout w:type="fixed"/>
        <w:tblCellMar>
          <w:left w:w="70" w:type="dxa"/>
          <w:right w:w="70" w:type="dxa"/>
        </w:tblCellMar>
        <w:tblLook w:val="0000" w:firstRow="0" w:lastRow="0" w:firstColumn="0" w:lastColumn="0" w:noHBand="0" w:noVBand="0"/>
      </w:tblPr>
      <w:tblGrid>
        <w:gridCol w:w="3614"/>
        <w:gridCol w:w="1134"/>
        <w:gridCol w:w="709"/>
        <w:gridCol w:w="4111"/>
      </w:tblGrid>
      <w:tr w:rsidR="00C74B6F" w14:paraId="19B8581F" w14:textId="77777777" w:rsidTr="002A374B">
        <w:trPr>
          <w:cantSplit/>
        </w:trPr>
        <w:tc>
          <w:tcPr>
            <w:tcW w:w="9568" w:type="dxa"/>
            <w:gridSpan w:val="4"/>
          </w:tcPr>
          <w:p w14:paraId="08149C2E" w14:textId="77777777" w:rsidR="00C74B6F" w:rsidRPr="00BE1981" w:rsidRDefault="00C74B6F">
            <w:pPr>
              <w:rPr>
                <w:szCs w:val="24"/>
              </w:rPr>
            </w:pPr>
          </w:p>
        </w:tc>
      </w:tr>
      <w:tr w:rsidR="00C74B6F" w14:paraId="76D38D7A" w14:textId="77777777" w:rsidTr="002A374B">
        <w:trPr>
          <w:cantSplit/>
        </w:trPr>
        <w:tc>
          <w:tcPr>
            <w:tcW w:w="9568" w:type="dxa"/>
            <w:gridSpan w:val="4"/>
            <w:vAlign w:val="center"/>
          </w:tcPr>
          <w:p w14:paraId="501954B5" w14:textId="77777777" w:rsidR="00C74B6F" w:rsidRPr="000E1320" w:rsidRDefault="000E1320">
            <w:pPr>
              <w:jc w:val="center"/>
              <w:rPr>
                <w:sz w:val="36"/>
                <w:szCs w:val="36"/>
              </w:rPr>
            </w:pPr>
            <w:r w:rsidRPr="000E1320">
              <w:rPr>
                <w:b/>
                <w:sz w:val="36"/>
                <w:szCs w:val="36"/>
              </w:rPr>
              <w:t>TRIBUNAL ADMINISTRATIF DU TRAVAIL</w:t>
            </w:r>
          </w:p>
        </w:tc>
      </w:tr>
      <w:tr w:rsidR="00C74B6F" w14:paraId="44531230" w14:textId="77777777" w:rsidTr="002A374B">
        <w:trPr>
          <w:cantSplit/>
        </w:trPr>
        <w:tc>
          <w:tcPr>
            <w:tcW w:w="9568" w:type="dxa"/>
            <w:gridSpan w:val="4"/>
          </w:tcPr>
          <w:p w14:paraId="2CE7667A" w14:textId="77777777" w:rsidR="00C74B6F" w:rsidRPr="00BE7014" w:rsidRDefault="006F0154" w:rsidP="009A67E7">
            <w:pPr>
              <w:pStyle w:val="zSoquijdatDivision"/>
            </w:pPr>
            <w:r w:rsidRPr="00BE7014">
              <w:t>(</w:t>
            </w:r>
            <w:r w:rsidR="00056FAC" w:rsidRPr="00441ADA">
              <w:t>Division des services essentiels</w:t>
            </w:r>
            <w:r w:rsidRPr="00BE7014">
              <w:t>)</w:t>
            </w:r>
          </w:p>
        </w:tc>
      </w:tr>
      <w:tr w:rsidR="00C74B6F" w14:paraId="53452DCD" w14:textId="77777777" w:rsidTr="002A374B">
        <w:trPr>
          <w:cantSplit/>
        </w:trPr>
        <w:tc>
          <w:tcPr>
            <w:tcW w:w="9568" w:type="dxa"/>
            <w:gridSpan w:val="4"/>
          </w:tcPr>
          <w:p w14:paraId="41ED9A4C" w14:textId="77777777" w:rsidR="002B2FC3" w:rsidRDefault="002B2FC3" w:rsidP="002B2FC3"/>
        </w:tc>
      </w:tr>
      <w:tr w:rsidR="00A84FC6" w14:paraId="76EE9B92" w14:textId="77777777" w:rsidTr="002A374B">
        <w:trPr>
          <w:cantSplit/>
        </w:trPr>
        <w:tc>
          <w:tcPr>
            <w:tcW w:w="9568" w:type="dxa"/>
            <w:gridSpan w:val="4"/>
          </w:tcPr>
          <w:p w14:paraId="1FFAE34C" w14:textId="77777777" w:rsidR="00A84FC6" w:rsidRDefault="00A84FC6" w:rsidP="002B2FC3"/>
        </w:tc>
      </w:tr>
      <w:tr w:rsidR="00C74B6F" w14:paraId="7DA75644" w14:textId="77777777" w:rsidTr="005E654C">
        <w:tc>
          <w:tcPr>
            <w:tcW w:w="3614" w:type="dxa"/>
          </w:tcPr>
          <w:p w14:paraId="3AD31C63" w14:textId="77777777" w:rsidR="00C74B6F" w:rsidRDefault="0084255F">
            <w:bookmarkStart w:id="0" w:name="region" w:colFirst="1" w:colLast="1"/>
            <w:r>
              <w:t>Région :</w:t>
            </w:r>
          </w:p>
        </w:tc>
        <w:tc>
          <w:tcPr>
            <w:tcW w:w="5954" w:type="dxa"/>
            <w:gridSpan w:val="3"/>
          </w:tcPr>
          <w:p w14:paraId="4FF4CE9E" w14:textId="77777777" w:rsidR="00C74B6F" w:rsidRDefault="00056FAC" w:rsidP="00F4095A">
            <w:pPr>
              <w:pStyle w:val="zSoquijdatGreffe"/>
            </w:pPr>
            <w:r>
              <w:t>Montréal</w:t>
            </w:r>
          </w:p>
        </w:tc>
      </w:tr>
      <w:bookmarkEnd w:id="0"/>
      <w:tr w:rsidR="00C74B6F" w14:paraId="40015303" w14:textId="77777777" w:rsidTr="002A374B">
        <w:trPr>
          <w:cantSplit/>
        </w:trPr>
        <w:tc>
          <w:tcPr>
            <w:tcW w:w="9568" w:type="dxa"/>
            <w:gridSpan w:val="4"/>
          </w:tcPr>
          <w:p w14:paraId="17A56ADD" w14:textId="77777777" w:rsidR="00C74B6F" w:rsidRDefault="00C74B6F"/>
        </w:tc>
      </w:tr>
      <w:tr w:rsidR="00C74B6F" w14:paraId="2C621462" w14:textId="77777777" w:rsidTr="005E654C">
        <w:tc>
          <w:tcPr>
            <w:tcW w:w="3614" w:type="dxa"/>
          </w:tcPr>
          <w:p w14:paraId="0DDA72CF" w14:textId="77777777" w:rsidR="00C74B6F" w:rsidRDefault="0084255F">
            <w:bookmarkStart w:id="1" w:name="ref_dossier" w:colFirst="1" w:colLast="1"/>
            <w:r>
              <w:t>Dossier</w:t>
            </w:r>
            <w:bookmarkStart w:id="2" w:name="dossiers"/>
            <w:bookmarkEnd w:id="2"/>
            <w:r>
              <w:t> :</w:t>
            </w:r>
          </w:p>
        </w:tc>
        <w:tc>
          <w:tcPr>
            <w:tcW w:w="5954" w:type="dxa"/>
            <w:gridSpan w:val="3"/>
          </w:tcPr>
          <w:p w14:paraId="10732513" w14:textId="77777777" w:rsidR="00C74B6F" w:rsidRDefault="00056FAC" w:rsidP="00F4095A">
            <w:pPr>
              <w:pStyle w:val="zSoquijdatNoDossier"/>
            </w:pPr>
            <w:r w:rsidRPr="00056FAC">
              <w:t>1218812-71-2103</w:t>
            </w:r>
          </w:p>
        </w:tc>
      </w:tr>
      <w:bookmarkEnd w:id="1"/>
      <w:tr w:rsidR="00C74B6F" w14:paraId="35A51778" w14:textId="77777777" w:rsidTr="002A374B">
        <w:trPr>
          <w:cantSplit/>
        </w:trPr>
        <w:tc>
          <w:tcPr>
            <w:tcW w:w="9568" w:type="dxa"/>
            <w:gridSpan w:val="4"/>
          </w:tcPr>
          <w:p w14:paraId="49B4BC35" w14:textId="77777777" w:rsidR="00C74B6F" w:rsidRDefault="00D44BCF">
            <w:r>
              <w:fldChar w:fldCharType="begin"/>
            </w:r>
            <w:r>
              <w:instrText xml:space="preserve"> AUTOTEXTLIST  \* Upper  \* MERGEFORMAT </w:instrText>
            </w:r>
            <w:r>
              <w:fldChar w:fldCharType="end"/>
            </w:r>
          </w:p>
        </w:tc>
      </w:tr>
      <w:tr w:rsidR="00C74B6F" w14:paraId="15B70016" w14:textId="77777777" w:rsidTr="005E654C">
        <w:tc>
          <w:tcPr>
            <w:tcW w:w="3614" w:type="dxa"/>
          </w:tcPr>
          <w:p w14:paraId="198224BF" w14:textId="77777777" w:rsidR="00C74B6F" w:rsidRDefault="008C79A7" w:rsidP="0045114F">
            <w:pPr>
              <w:ind w:right="46"/>
            </w:pPr>
            <w:r>
              <w:t xml:space="preserve">Dossier </w:t>
            </w:r>
            <w:r w:rsidR="00056FAC" w:rsidRPr="00056FAC">
              <w:rPr>
                <w:szCs w:val="24"/>
              </w:rPr>
              <w:t>accréditation</w:t>
            </w:r>
            <w:r w:rsidRPr="008C79A7">
              <w:rPr>
                <w:szCs w:val="24"/>
              </w:rPr>
              <w:t xml:space="preserve"> :</w:t>
            </w:r>
          </w:p>
        </w:tc>
        <w:tc>
          <w:tcPr>
            <w:tcW w:w="5954" w:type="dxa"/>
            <w:gridSpan w:val="3"/>
          </w:tcPr>
          <w:p w14:paraId="30C8782C" w14:textId="77777777" w:rsidR="00C74B6F" w:rsidRDefault="00056FAC" w:rsidP="004D6CEA">
            <w:pPr>
              <w:pStyle w:val="zSoquijdatNCSST"/>
            </w:pPr>
            <w:r w:rsidRPr="00056FAC">
              <w:t>AM-2000-4609</w:t>
            </w:r>
          </w:p>
        </w:tc>
      </w:tr>
      <w:tr w:rsidR="00C74B6F" w14:paraId="787744C1" w14:textId="77777777" w:rsidTr="002A374B">
        <w:trPr>
          <w:cantSplit/>
        </w:trPr>
        <w:tc>
          <w:tcPr>
            <w:tcW w:w="9568" w:type="dxa"/>
            <w:gridSpan w:val="4"/>
          </w:tcPr>
          <w:p w14:paraId="288B0623" w14:textId="77777777" w:rsidR="00C74B6F" w:rsidRDefault="00C74B6F"/>
        </w:tc>
      </w:tr>
      <w:tr w:rsidR="006E3DD8" w14:paraId="5F88C73F" w14:textId="77777777" w:rsidTr="005E654C">
        <w:trPr>
          <w:cantSplit/>
        </w:trPr>
        <w:tc>
          <w:tcPr>
            <w:tcW w:w="3614" w:type="dxa"/>
          </w:tcPr>
          <w:p w14:paraId="12958A5D" w14:textId="77777777" w:rsidR="006E3DD8" w:rsidRDefault="00056FAC" w:rsidP="006E3DD8">
            <w:pPr>
              <w:tabs>
                <w:tab w:val="left" w:pos="2672"/>
              </w:tabs>
            </w:pPr>
            <w:r>
              <w:t>Montréal</w:t>
            </w:r>
            <w:r w:rsidR="00C04E32">
              <w:t>,</w:t>
            </w:r>
          </w:p>
        </w:tc>
        <w:tc>
          <w:tcPr>
            <w:tcW w:w="5954" w:type="dxa"/>
            <w:gridSpan w:val="3"/>
          </w:tcPr>
          <w:p w14:paraId="0DE9DB25" w14:textId="0F0708F8" w:rsidR="006E3DD8" w:rsidRDefault="00C04E32" w:rsidP="001D4F36">
            <w:pPr>
              <w:pStyle w:val="zSoquijdatDateJugement"/>
            </w:pPr>
            <w:r>
              <w:t xml:space="preserve">le </w:t>
            </w:r>
            <w:r w:rsidR="001D4F36">
              <w:t>31 mai 2021</w:t>
            </w:r>
          </w:p>
        </w:tc>
      </w:tr>
      <w:tr w:rsidR="00942AB8" w14:paraId="3B1EE91E" w14:textId="77777777" w:rsidTr="002A374B">
        <w:trPr>
          <w:cantSplit/>
        </w:trPr>
        <w:tc>
          <w:tcPr>
            <w:tcW w:w="9568" w:type="dxa"/>
            <w:gridSpan w:val="4"/>
          </w:tcPr>
          <w:p w14:paraId="1D50AD8E" w14:textId="77777777" w:rsidR="00942AB8" w:rsidRDefault="00942AB8" w:rsidP="00FA153F">
            <w:r>
              <w:t>______________________________________________________________________</w:t>
            </w:r>
          </w:p>
        </w:tc>
      </w:tr>
      <w:tr w:rsidR="00942AB8" w14:paraId="16D318B7" w14:textId="77777777" w:rsidTr="002A374B">
        <w:trPr>
          <w:cantSplit/>
          <w:trHeight w:val="148"/>
        </w:trPr>
        <w:tc>
          <w:tcPr>
            <w:tcW w:w="9568" w:type="dxa"/>
            <w:gridSpan w:val="4"/>
          </w:tcPr>
          <w:p w14:paraId="2BE1F725" w14:textId="77777777" w:rsidR="00942AB8" w:rsidRDefault="00942AB8" w:rsidP="00FA153F"/>
        </w:tc>
      </w:tr>
      <w:tr w:rsidR="0035375B" w14:paraId="67C17886" w14:textId="77777777" w:rsidTr="00A12E55">
        <w:trPr>
          <w:cantSplit/>
          <w:trHeight w:val="148"/>
        </w:trPr>
        <w:tc>
          <w:tcPr>
            <w:tcW w:w="5457" w:type="dxa"/>
            <w:gridSpan w:val="3"/>
          </w:tcPr>
          <w:p w14:paraId="3B67E8E4" w14:textId="77777777" w:rsidR="0035375B" w:rsidRPr="00942AB8" w:rsidRDefault="0035375B" w:rsidP="00056FAC">
            <w:pPr>
              <w:rPr>
                <w:b/>
                <w:bCs/>
              </w:rPr>
            </w:pPr>
            <w:bookmarkStart w:id="3" w:name="ref_commissaire" w:colFirst="1" w:colLast="1"/>
            <w:r w:rsidRPr="00942AB8">
              <w:rPr>
                <w:b/>
                <w:bCs/>
              </w:rPr>
              <w:t>DEVANT L</w:t>
            </w:r>
            <w:r w:rsidR="00056FAC">
              <w:rPr>
                <w:b/>
                <w:bCs/>
              </w:rPr>
              <w:t>E</w:t>
            </w:r>
            <w:r w:rsidRPr="00942AB8">
              <w:rPr>
                <w:b/>
                <w:bCs/>
              </w:rPr>
              <w:t xml:space="preserve"> JUGE ADMINISTRATI</w:t>
            </w:r>
            <w:r w:rsidR="00056FAC">
              <w:rPr>
                <w:b/>
                <w:bCs/>
              </w:rPr>
              <w:t>F</w:t>
            </w:r>
            <w:r w:rsidRPr="00942AB8">
              <w:rPr>
                <w:b/>
                <w:bCs/>
              </w:rPr>
              <w:t> :</w:t>
            </w:r>
          </w:p>
        </w:tc>
        <w:tc>
          <w:tcPr>
            <w:tcW w:w="4111" w:type="dxa"/>
          </w:tcPr>
          <w:p w14:paraId="1C5E4673" w14:textId="77777777" w:rsidR="0035375B" w:rsidRPr="00942AB8" w:rsidRDefault="00056FAC" w:rsidP="005B5689">
            <w:pPr>
              <w:pStyle w:val="zSoquijdatJuge"/>
              <w:rPr>
                <w:bCs/>
              </w:rPr>
            </w:pPr>
            <w:r w:rsidRPr="00056FAC">
              <w:t>François Beaubien</w:t>
            </w:r>
          </w:p>
        </w:tc>
      </w:tr>
      <w:bookmarkEnd w:id="3"/>
      <w:tr w:rsidR="00942AB8" w14:paraId="331D521D" w14:textId="77777777" w:rsidTr="002A374B">
        <w:trPr>
          <w:cantSplit/>
          <w:trHeight w:val="148"/>
        </w:trPr>
        <w:tc>
          <w:tcPr>
            <w:tcW w:w="9568" w:type="dxa"/>
            <w:gridSpan w:val="4"/>
          </w:tcPr>
          <w:p w14:paraId="0439A937" w14:textId="77777777" w:rsidR="00942AB8" w:rsidRDefault="00942AB8" w:rsidP="00FA153F">
            <w:r>
              <w:t>______________________________________________________________________</w:t>
            </w:r>
          </w:p>
        </w:tc>
      </w:tr>
      <w:tr w:rsidR="00942AB8" w14:paraId="6F08D213" w14:textId="77777777" w:rsidTr="002A374B">
        <w:tc>
          <w:tcPr>
            <w:tcW w:w="9568" w:type="dxa"/>
            <w:gridSpan w:val="4"/>
          </w:tcPr>
          <w:p w14:paraId="06E3DFAE" w14:textId="77777777" w:rsidR="00942AB8" w:rsidRDefault="00942AB8"/>
        </w:tc>
      </w:tr>
      <w:tr w:rsidR="00942AB8" w14:paraId="4C63827D" w14:textId="77777777" w:rsidTr="00D40ABA">
        <w:tc>
          <w:tcPr>
            <w:tcW w:w="4748" w:type="dxa"/>
            <w:gridSpan w:val="2"/>
          </w:tcPr>
          <w:p w14:paraId="40702820" w14:textId="77777777" w:rsidR="00942AB8" w:rsidRDefault="00942AB8">
            <w:bookmarkStart w:id="4" w:name="bloc_parties_gauche"/>
            <w:bookmarkEnd w:id="4"/>
          </w:p>
        </w:tc>
        <w:tc>
          <w:tcPr>
            <w:tcW w:w="4820" w:type="dxa"/>
            <w:gridSpan w:val="2"/>
          </w:tcPr>
          <w:p w14:paraId="29C02BF8" w14:textId="77777777" w:rsidR="00942AB8" w:rsidRDefault="00942AB8"/>
        </w:tc>
      </w:tr>
      <w:tr w:rsidR="00056FAC" w14:paraId="1591D2DF" w14:textId="77777777" w:rsidTr="00C30A93">
        <w:tc>
          <w:tcPr>
            <w:tcW w:w="9568" w:type="dxa"/>
            <w:gridSpan w:val="4"/>
          </w:tcPr>
          <w:p w14:paraId="2091D47F" w14:textId="77777777" w:rsidR="00056FAC" w:rsidRDefault="00056FAC">
            <w:r w:rsidRPr="00056FAC">
              <w:rPr>
                <w:b/>
              </w:rPr>
              <w:t>Syndica</w:t>
            </w:r>
            <w:bookmarkStart w:id="5" w:name="_GoBack"/>
            <w:bookmarkEnd w:id="5"/>
            <w:r w:rsidRPr="00056FAC">
              <w:rPr>
                <w:b/>
              </w:rPr>
              <w:t>t des employés de Notre-Dame de Lourdes (CSN)</w:t>
            </w:r>
          </w:p>
        </w:tc>
      </w:tr>
      <w:tr w:rsidR="00AC5E3B" w14:paraId="39BC25C7" w14:textId="77777777" w:rsidTr="00D40ABA">
        <w:tc>
          <w:tcPr>
            <w:tcW w:w="4748" w:type="dxa"/>
            <w:gridSpan w:val="2"/>
          </w:tcPr>
          <w:p w14:paraId="16537A79" w14:textId="77777777" w:rsidR="00AC5E3B" w:rsidRDefault="00AC5E3B" w:rsidP="00AC5E3B">
            <w:pPr>
              <w:pStyle w:val="zSoquijdatQtePartieDem"/>
              <w:ind w:left="708"/>
            </w:pPr>
            <w:r>
              <w:t>Association accréditée</w:t>
            </w:r>
          </w:p>
        </w:tc>
        <w:tc>
          <w:tcPr>
            <w:tcW w:w="4820" w:type="dxa"/>
            <w:gridSpan w:val="2"/>
          </w:tcPr>
          <w:p w14:paraId="1B8E360C" w14:textId="77777777" w:rsidR="00AC5E3B" w:rsidRDefault="00AC5E3B"/>
        </w:tc>
      </w:tr>
      <w:tr w:rsidR="00AC5E3B" w14:paraId="6B243646" w14:textId="77777777" w:rsidTr="00D40ABA">
        <w:tc>
          <w:tcPr>
            <w:tcW w:w="4748" w:type="dxa"/>
            <w:gridSpan w:val="2"/>
          </w:tcPr>
          <w:p w14:paraId="02021EB6" w14:textId="77777777" w:rsidR="00AC5E3B" w:rsidRDefault="00AC5E3B"/>
        </w:tc>
        <w:tc>
          <w:tcPr>
            <w:tcW w:w="4820" w:type="dxa"/>
            <w:gridSpan w:val="2"/>
          </w:tcPr>
          <w:p w14:paraId="2660D04F" w14:textId="77777777" w:rsidR="00AC5E3B" w:rsidRDefault="00AC5E3B"/>
        </w:tc>
      </w:tr>
      <w:tr w:rsidR="00AC5E3B" w14:paraId="64A65EF3" w14:textId="77777777" w:rsidTr="00D40ABA">
        <w:tc>
          <w:tcPr>
            <w:tcW w:w="4748" w:type="dxa"/>
            <w:gridSpan w:val="2"/>
          </w:tcPr>
          <w:p w14:paraId="67430886" w14:textId="77777777" w:rsidR="00AC5E3B" w:rsidRDefault="00AC5E3B" w:rsidP="00AC5E3B">
            <w:pPr>
              <w:pStyle w:val="zSoquijdatQtePartieDem"/>
            </w:pPr>
            <w:r>
              <w:t>c.</w:t>
            </w:r>
          </w:p>
        </w:tc>
        <w:tc>
          <w:tcPr>
            <w:tcW w:w="4820" w:type="dxa"/>
            <w:gridSpan w:val="2"/>
          </w:tcPr>
          <w:p w14:paraId="11AAE881" w14:textId="77777777" w:rsidR="00AC5E3B" w:rsidRDefault="00AC5E3B"/>
        </w:tc>
      </w:tr>
      <w:tr w:rsidR="00AC5E3B" w14:paraId="0B06DCD8" w14:textId="77777777" w:rsidTr="00D40ABA">
        <w:tc>
          <w:tcPr>
            <w:tcW w:w="4748" w:type="dxa"/>
            <w:gridSpan w:val="2"/>
          </w:tcPr>
          <w:p w14:paraId="5D95720F" w14:textId="77777777" w:rsidR="00AC5E3B" w:rsidRDefault="00AC5E3B"/>
        </w:tc>
        <w:tc>
          <w:tcPr>
            <w:tcW w:w="4820" w:type="dxa"/>
            <w:gridSpan w:val="2"/>
          </w:tcPr>
          <w:p w14:paraId="494584DD" w14:textId="77777777" w:rsidR="00AC5E3B" w:rsidRDefault="00AC5E3B"/>
        </w:tc>
      </w:tr>
      <w:tr w:rsidR="00D525FB" w14:paraId="065B304F" w14:textId="77777777" w:rsidTr="00C645D0">
        <w:tc>
          <w:tcPr>
            <w:tcW w:w="9568" w:type="dxa"/>
            <w:gridSpan w:val="4"/>
          </w:tcPr>
          <w:p w14:paraId="2152F3AE" w14:textId="77777777" w:rsidR="00D525FB" w:rsidRDefault="00D525FB">
            <w:r w:rsidRPr="00056FAC">
              <w:rPr>
                <w:b/>
              </w:rPr>
              <w:t xml:space="preserve">CHSLD Providence Notre-Dame de Lourdes </w:t>
            </w:r>
            <w:proofErr w:type="spellStart"/>
            <w:r w:rsidRPr="00056FAC">
              <w:rPr>
                <w:b/>
              </w:rPr>
              <w:t>inc.</w:t>
            </w:r>
            <w:proofErr w:type="spellEnd"/>
          </w:p>
        </w:tc>
      </w:tr>
      <w:tr w:rsidR="00AC5E3B" w14:paraId="146EBDCB" w14:textId="77777777" w:rsidTr="00D40ABA">
        <w:tc>
          <w:tcPr>
            <w:tcW w:w="4748" w:type="dxa"/>
            <w:gridSpan w:val="2"/>
          </w:tcPr>
          <w:p w14:paraId="7358EEDC" w14:textId="77777777" w:rsidR="00AC5E3B" w:rsidRDefault="00AC5E3B" w:rsidP="00AC5E3B">
            <w:pPr>
              <w:pStyle w:val="zSoquijdatQtePartieDef"/>
              <w:ind w:left="708"/>
            </w:pPr>
            <w:r>
              <w:t>Employeur</w:t>
            </w:r>
          </w:p>
        </w:tc>
        <w:tc>
          <w:tcPr>
            <w:tcW w:w="4820" w:type="dxa"/>
            <w:gridSpan w:val="2"/>
          </w:tcPr>
          <w:p w14:paraId="35D0558C" w14:textId="77777777" w:rsidR="00AC5E3B" w:rsidRDefault="00AC5E3B"/>
        </w:tc>
      </w:tr>
      <w:tr w:rsidR="00AC5E3B" w14:paraId="45057612" w14:textId="77777777" w:rsidTr="00D40ABA">
        <w:tc>
          <w:tcPr>
            <w:tcW w:w="4748" w:type="dxa"/>
            <w:gridSpan w:val="2"/>
          </w:tcPr>
          <w:p w14:paraId="7773D7BB" w14:textId="77777777" w:rsidR="00AC5E3B" w:rsidRDefault="00AC5E3B"/>
        </w:tc>
        <w:tc>
          <w:tcPr>
            <w:tcW w:w="4820" w:type="dxa"/>
            <w:gridSpan w:val="2"/>
          </w:tcPr>
          <w:p w14:paraId="3228099C" w14:textId="77777777" w:rsidR="00AC5E3B" w:rsidRDefault="00AC5E3B"/>
        </w:tc>
      </w:tr>
      <w:tr w:rsidR="00AC5E3B" w14:paraId="185097B0" w14:textId="77777777" w:rsidTr="00D40ABA">
        <w:tc>
          <w:tcPr>
            <w:tcW w:w="4748" w:type="dxa"/>
            <w:gridSpan w:val="2"/>
          </w:tcPr>
          <w:p w14:paraId="7D8F668E" w14:textId="77777777" w:rsidR="00AC5E3B" w:rsidRDefault="00AC5E3B"/>
        </w:tc>
        <w:tc>
          <w:tcPr>
            <w:tcW w:w="4820" w:type="dxa"/>
            <w:gridSpan w:val="2"/>
          </w:tcPr>
          <w:p w14:paraId="015E4383" w14:textId="77777777" w:rsidR="00AC5E3B" w:rsidRDefault="00AC5E3B"/>
        </w:tc>
      </w:tr>
      <w:tr w:rsidR="00942AB8" w14:paraId="74D4E4F6" w14:textId="77777777" w:rsidTr="00D40ABA">
        <w:tc>
          <w:tcPr>
            <w:tcW w:w="4748" w:type="dxa"/>
            <w:gridSpan w:val="2"/>
          </w:tcPr>
          <w:p w14:paraId="66D7FD06" w14:textId="77777777" w:rsidR="00942AB8" w:rsidRDefault="00942AB8">
            <w:bookmarkStart w:id="6" w:name="partie_demanderesse"/>
            <w:bookmarkEnd w:id="6"/>
          </w:p>
        </w:tc>
        <w:tc>
          <w:tcPr>
            <w:tcW w:w="4820" w:type="dxa"/>
            <w:gridSpan w:val="2"/>
          </w:tcPr>
          <w:p w14:paraId="0712BC77" w14:textId="77777777" w:rsidR="00942AB8" w:rsidRDefault="00942AB8"/>
        </w:tc>
      </w:tr>
    </w:tbl>
    <w:p w14:paraId="2660B95D" w14:textId="77777777" w:rsidR="00C74B6F" w:rsidRDefault="00C74B6F">
      <w:r>
        <w:t>______________________________________________________________________</w:t>
      </w:r>
    </w:p>
    <w:p w14:paraId="67B3F255" w14:textId="77777777" w:rsidR="00C74B6F" w:rsidRDefault="00C74B6F"/>
    <w:p w14:paraId="7D64A701" w14:textId="77777777" w:rsidR="00C74B6F" w:rsidRPr="005B0612" w:rsidRDefault="00C74B6F" w:rsidP="008B042E">
      <w:pPr>
        <w:jc w:val="center"/>
        <w:rPr>
          <w:b/>
          <w:bCs/>
        </w:rPr>
      </w:pPr>
      <w:bookmarkStart w:id="7" w:name="decision"/>
      <w:r w:rsidRPr="005B0612">
        <w:rPr>
          <w:b/>
          <w:bCs/>
        </w:rPr>
        <w:t>DÉCISION</w:t>
      </w:r>
      <w:bookmarkEnd w:id="7"/>
    </w:p>
    <w:p w14:paraId="1967C26F" w14:textId="77777777" w:rsidR="00C74B6F" w:rsidRDefault="00C74B6F">
      <w:pPr>
        <w:jc w:val="center"/>
      </w:pPr>
      <w:r>
        <w:t>______________________________________________________________________</w:t>
      </w:r>
    </w:p>
    <w:p w14:paraId="3C9AD38C" w14:textId="77777777" w:rsidR="00C74B6F" w:rsidRDefault="00C74B6F"/>
    <w:p w14:paraId="1AB276AE" w14:textId="77777777" w:rsidR="005348E4" w:rsidRPr="004D16D6" w:rsidRDefault="005348E4" w:rsidP="00F96E41">
      <w:pPr>
        <w:rPr>
          <w:b/>
          <w:bCs/>
          <w:u w:val="single"/>
        </w:rPr>
      </w:pPr>
      <w:r w:rsidRPr="004D16D6">
        <w:rPr>
          <w:b/>
          <w:bCs/>
          <w:u w:val="single"/>
        </w:rPr>
        <w:t>L’APERÇU</w:t>
      </w:r>
    </w:p>
    <w:p w14:paraId="4B7FBC5D" w14:textId="77777777" w:rsidR="00C74B6F" w:rsidRDefault="00C74B6F"/>
    <w:p w14:paraId="7E6A1CBD" w14:textId="71D48291" w:rsidR="00D525FB" w:rsidRDefault="00AC5E3B" w:rsidP="00D06312">
      <w:pPr>
        <w:pStyle w:val="corpsdedcision"/>
        <w:jc w:val="left"/>
      </w:pPr>
      <w:r>
        <w:t xml:space="preserve">L’employeur est </w:t>
      </w:r>
      <w:r w:rsidRPr="009831C8">
        <w:t xml:space="preserve">un établissement </w:t>
      </w:r>
      <w:r>
        <w:t>visé</w:t>
      </w:r>
      <w:r w:rsidRPr="004A7CBC">
        <w:t xml:space="preserve"> </w:t>
      </w:r>
      <w:r w:rsidRPr="009831C8">
        <w:t xml:space="preserve">par l’article 111.10 du </w:t>
      </w:r>
      <w:r w:rsidRPr="009831C8">
        <w:rPr>
          <w:i/>
          <w:iCs/>
        </w:rPr>
        <w:t>Code du travail</w:t>
      </w:r>
      <w:r>
        <w:rPr>
          <w:rStyle w:val="Appelnotedebasdep"/>
          <w:i/>
          <w:iCs/>
        </w:rPr>
        <w:footnoteReference w:id="1"/>
      </w:r>
      <w:r w:rsidRPr="009831C8">
        <w:t xml:space="preserve"> </w:t>
      </w:r>
      <w:r>
        <w:t>qui exploite</w:t>
      </w:r>
      <w:r w:rsidR="00D525FB">
        <w:t> :</w:t>
      </w:r>
    </w:p>
    <w:p w14:paraId="47DD8083" w14:textId="77777777" w:rsidR="00AC5E3B" w:rsidRDefault="00D525FB" w:rsidP="00D525FB">
      <w:pPr>
        <w:numPr>
          <w:ilvl w:val="1"/>
          <w:numId w:val="7"/>
        </w:numPr>
        <w:spacing w:before="120" w:after="360"/>
        <w:ind w:left="788" w:hanging="431"/>
      </w:pPr>
      <w:r>
        <w:t>U</w:t>
      </w:r>
      <w:r w:rsidR="00AC5E3B">
        <w:t xml:space="preserve">n ou des </w:t>
      </w:r>
      <w:r w:rsidR="00AC5E3B" w:rsidRPr="00D525FB">
        <w:rPr>
          <w:szCs w:val="24"/>
          <w:lang w:eastAsia="fr-FR"/>
        </w:rPr>
        <w:t>centres</w:t>
      </w:r>
      <w:r w:rsidR="00AC5E3B">
        <w:t xml:space="preserve"> d’hébergement et de soins de longue durée.</w:t>
      </w:r>
    </w:p>
    <w:p w14:paraId="1797F331" w14:textId="77777777" w:rsidR="00AC5E3B" w:rsidRDefault="00AC5E3B">
      <w:pPr>
        <w:pStyle w:val="corpsdedcision"/>
        <w:tabs>
          <w:tab w:val="num" w:pos="720"/>
        </w:tabs>
      </w:pPr>
      <w:r>
        <w:t>L’association accréditée représente :</w:t>
      </w:r>
    </w:p>
    <w:p w14:paraId="3B594ADC" w14:textId="77777777" w:rsidR="00D525FB" w:rsidRPr="00E510F5" w:rsidRDefault="00D525FB" w:rsidP="00D525FB">
      <w:pPr>
        <w:pStyle w:val="Paragraphe"/>
        <w:numPr>
          <w:ilvl w:val="0"/>
          <w:numId w:val="0"/>
        </w:numPr>
        <w:spacing w:before="0" w:after="360"/>
        <w:ind w:left="851" w:right="856" w:hanging="142"/>
        <w:rPr>
          <w:b/>
          <w:sz w:val="20"/>
        </w:rPr>
      </w:pPr>
      <w:r w:rsidRPr="00E510F5">
        <w:rPr>
          <w:b/>
          <w:sz w:val="20"/>
        </w:rPr>
        <w:lastRenderedPageBreak/>
        <w:t xml:space="preserve">« Toutes les salariées et tous les salariés de la catégorie du personnel </w:t>
      </w:r>
      <w:proofErr w:type="spellStart"/>
      <w:r w:rsidRPr="00E510F5">
        <w:rPr>
          <w:b/>
          <w:sz w:val="20"/>
        </w:rPr>
        <w:t>paratechnique</w:t>
      </w:r>
      <w:proofErr w:type="spellEnd"/>
      <w:r w:rsidRPr="00E510F5">
        <w:rPr>
          <w:b/>
          <w:sz w:val="20"/>
        </w:rPr>
        <w:t>, des services auxiliaires et de métiers. »</w:t>
      </w:r>
    </w:p>
    <w:p w14:paraId="6B99AC44" w14:textId="15CAA861" w:rsidR="00AC5E3B" w:rsidRPr="00273101" w:rsidRDefault="00AC5E3B">
      <w:pPr>
        <w:pStyle w:val="corpsdedcision"/>
        <w:tabs>
          <w:tab w:val="num" w:pos="720"/>
        </w:tabs>
        <w:rPr>
          <w:lang w:val="fr-FR" w:eastAsia="fr-FR"/>
        </w:rPr>
      </w:pPr>
      <w:r w:rsidRPr="008A4668">
        <w:rPr>
          <w:lang w:eastAsia="fr-FR"/>
        </w:rPr>
        <w:t xml:space="preserve">Le </w:t>
      </w:r>
      <w:r w:rsidR="00D525FB">
        <w:rPr>
          <w:lang w:eastAsia="fr-FR"/>
        </w:rPr>
        <w:t>11 mars</w:t>
      </w:r>
      <w:r w:rsidRPr="008A4668">
        <w:rPr>
          <w:lang w:eastAsia="fr-FR"/>
        </w:rPr>
        <w:t xml:space="preserve"> 202</w:t>
      </w:r>
      <w:r w:rsidR="00D525FB">
        <w:rPr>
          <w:lang w:eastAsia="fr-FR"/>
        </w:rPr>
        <w:t>1</w:t>
      </w:r>
      <w:r w:rsidRPr="008A4668">
        <w:rPr>
          <w:lang w:eastAsia="fr-FR"/>
        </w:rPr>
        <w:t>, le Tribunal reçoit une liste de services essentiels que l’association accréditée propose de maintenir en cas de grève</w:t>
      </w:r>
      <w:r>
        <w:rPr>
          <w:rStyle w:val="Appelnotedebasdep"/>
          <w:lang w:eastAsia="fr-FR"/>
        </w:rPr>
        <w:footnoteReference w:id="2"/>
      </w:r>
      <w:r w:rsidRPr="008A4668">
        <w:rPr>
          <w:lang w:eastAsia="fr-FR"/>
        </w:rPr>
        <w:t xml:space="preserve">. </w:t>
      </w:r>
      <w:r>
        <w:t>L’employeur est invité à commenter la liste</w:t>
      </w:r>
      <w:r w:rsidR="004B515F">
        <w:t>,</w:t>
      </w:r>
      <w:r>
        <w:t xml:space="preserve"> </w:t>
      </w:r>
      <w:r w:rsidR="00FF0E96">
        <w:t>ainsi que ses amendements</w:t>
      </w:r>
      <w:r>
        <w:t>, ce qu’il a fait.</w:t>
      </w:r>
    </w:p>
    <w:p w14:paraId="1E5F9006" w14:textId="77777777" w:rsidR="00273101" w:rsidRPr="00651617" w:rsidRDefault="00273101" w:rsidP="00273101">
      <w:pPr>
        <w:pStyle w:val="corpsdedcision"/>
        <w:rPr>
          <w:lang w:val="fr-FR"/>
        </w:rPr>
      </w:pPr>
      <w:r w:rsidRPr="00651617">
        <w:rPr>
          <w:lang w:val="fr-FR"/>
        </w:rPr>
        <w:t xml:space="preserve">Le Tribunal prend acte que l’employeur ne s’oppose pas aux modalités de maintien des services essentiels prévues à la liste annexée, outre certains niveaux d’effectifs requis en cas de grève. </w:t>
      </w:r>
    </w:p>
    <w:p w14:paraId="3AF2081D" w14:textId="0B182B47" w:rsidR="00273101" w:rsidRPr="00273101" w:rsidRDefault="00273101" w:rsidP="00273101">
      <w:pPr>
        <w:pStyle w:val="corpsdedcision"/>
        <w:rPr>
          <w:lang w:val="fr-FR" w:eastAsia="fr-FR"/>
        </w:rPr>
      </w:pPr>
      <w:r w:rsidRPr="00651617">
        <w:rPr>
          <w:lang w:val="fr-FR" w:eastAsia="fr-FR"/>
        </w:rPr>
        <w:t xml:space="preserve">Pour les motifs exposés dans les décisions </w:t>
      </w:r>
      <w:r w:rsidRPr="00651617">
        <w:rPr>
          <w:i/>
          <w:lang w:eastAsia="fr-FR"/>
        </w:rPr>
        <w:t>Centre intégré de santé et de services sociaux de l'Outaouais</w:t>
      </w:r>
      <w:r w:rsidRPr="00651617">
        <w:rPr>
          <w:rStyle w:val="Appelnotedebasdep"/>
          <w:lang w:val="fr-FR" w:eastAsia="fr-FR"/>
        </w:rPr>
        <w:footnoteReference w:id="3"/>
      </w:r>
      <w:r w:rsidRPr="00651617">
        <w:rPr>
          <w:lang w:val="fr-FR" w:eastAsia="fr-FR"/>
        </w:rPr>
        <w:t>, ces modalités, de concert avec les niveaux d’effectifs ci-après déterminés, sont suffisantes pour éviter de mettre en danger la santé ou la sécurité publique.</w:t>
      </w:r>
    </w:p>
    <w:p w14:paraId="01729E73" w14:textId="23381E60" w:rsidR="00D525FB" w:rsidRDefault="00D525FB" w:rsidP="00D525FB">
      <w:pPr>
        <w:rPr>
          <w:b/>
          <w:bCs/>
          <w:u w:val="single"/>
        </w:rPr>
      </w:pPr>
      <w:r w:rsidRPr="004D16D6">
        <w:rPr>
          <w:b/>
          <w:bCs/>
          <w:u w:val="single"/>
        </w:rPr>
        <w:t>ANALYSE</w:t>
      </w:r>
    </w:p>
    <w:p w14:paraId="25354B11" w14:textId="77777777" w:rsidR="00D525FB" w:rsidRPr="004D16D6" w:rsidRDefault="00D525FB" w:rsidP="00D525FB">
      <w:pPr>
        <w:rPr>
          <w:b/>
          <w:bCs/>
          <w:u w:val="single"/>
        </w:rPr>
      </w:pPr>
    </w:p>
    <w:p w14:paraId="088D81E1" w14:textId="77777777" w:rsidR="00AC5E3B" w:rsidRPr="008A4668" w:rsidRDefault="00AC5E3B">
      <w:pPr>
        <w:pStyle w:val="corpsdedcision"/>
        <w:rPr>
          <w:lang w:eastAsia="fr-FR"/>
        </w:rPr>
      </w:pPr>
      <w:r w:rsidRPr="008A4668">
        <w:rPr>
          <w:lang w:eastAsia="fr-FR"/>
        </w:rPr>
        <w:t>Conformément aux articles 111.10.4 et 111.10.5 du Code, il appartient au Tribunal de procéder à l’évaluation de la suffisance de ceux-ci à l’aide des critères prévus aux articles 111.10 et 111.10.1 du Code lesquels prévoient :</w:t>
      </w:r>
    </w:p>
    <w:p w14:paraId="37BC4448" w14:textId="77777777" w:rsidR="00AC5E3B" w:rsidRPr="008A4668" w:rsidRDefault="00AC5E3B" w:rsidP="00AC5E3B">
      <w:pPr>
        <w:numPr>
          <w:ilvl w:val="1"/>
          <w:numId w:val="7"/>
        </w:numPr>
        <w:spacing w:before="120" w:after="120"/>
        <w:rPr>
          <w:szCs w:val="24"/>
          <w:lang w:eastAsia="fr-FR"/>
        </w:rPr>
      </w:pPr>
      <w:r w:rsidRPr="008A4668">
        <w:rPr>
          <w:szCs w:val="24"/>
          <w:lang w:eastAsia="fr-FR"/>
        </w:rPr>
        <w:t>Le maintien des services dont l’interruption peut avoir pour effet de mettre en danger la santé ou la sécurité publique.</w:t>
      </w:r>
    </w:p>
    <w:p w14:paraId="4C944E71" w14:textId="77777777" w:rsidR="00AC5E3B" w:rsidRPr="008A4668" w:rsidRDefault="00AC5E3B" w:rsidP="00AC5E3B">
      <w:pPr>
        <w:numPr>
          <w:ilvl w:val="1"/>
          <w:numId w:val="7"/>
        </w:numPr>
        <w:spacing w:before="120" w:after="120"/>
        <w:rPr>
          <w:szCs w:val="24"/>
          <w:lang w:eastAsia="fr-FR"/>
        </w:rPr>
      </w:pPr>
      <w:r w:rsidRPr="008A4668">
        <w:rPr>
          <w:szCs w:val="24"/>
          <w:lang w:eastAsia="fr-FR"/>
        </w:rPr>
        <w:t>La répartition des services essentiels par unité de soins et catégories de soins ou de services.</w:t>
      </w:r>
    </w:p>
    <w:p w14:paraId="709223C2" w14:textId="77777777" w:rsidR="00AC5E3B" w:rsidRDefault="00AC5E3B" w:rsidP="00AC5E3B">
      <w:pPr>
        <w:numPr>
          <w:ilvl w:val="1"/>
          <w:numId w:val="7"/>
        </w:numPr>
        <w:spacing w:before="120" w:after="120"/>
        <w:rPr>
          <w:szCs w:val="24"/>
          <w:lang w:eastAsia="fr-FR"/>
        </w:rPr>
      </w:pPr>
      <w:r w:rsidRPr="008A4668">
        <w:rPr>
          <w:szCs w:val="24"/>
          <w:lang w:eastAsia="fr-FR"/>
        </w:rPr>
        <w:t>Le fonctionnement normal des unités de soins intensifs et des unités d’urgence, le cas échéant.</w:t>
      </w:r>
    </w:p>
    <w:p w14:paraId="3172BA18" w14:textId="77777777" w:rsidR="00AC5E3B" w:rsidRPr="00F27E4D" w:rsidRDefault="00AC5E3B" w:rsidP="00D525FB">
      <w:pPr>
        <w:numPr>
          <w:ilvl w:val="1"/>
          <w:numId w:val="7"/>
        </w:numPr>
        <w:spacing w:before="120" w:after="120" w:line="360" w:lineRule="auto"/>
        <w:ind w:left="788" w:hanging="431"/>
        <w:rPr>
          <w:szCs w:val="24"/>
          <w:lang w:eastAsia="fr-FR"/>
        </w:rPr>
      </w:pPr>
      <w:r w:rsidRPr="008A4668">
        <w:t>Le libre accès d’une personne aux services de l’établissement.</w:t>
      </w:r>
    </w:p>
    <w:p w14:paraId="1DAA5BB7" w14:textId="74546C19" w:rsidR="00D525FB" w:rsidRDefault="00AC5E3B" w:rsidP="00273101">
      <w:pPr>
        <w:pStyle w:val="corpsdedcision"/>
        <w:tabs>
          <w:tab w:val="num" w:pos="720"/>
        </w:tabs>
        <w:spacing w:before="240"/>
        <w:rPr>
          <w:lang w:val="fr-FR"/>
        </w:rPr>
      </w:pPr>
      <w:r w:rsidRPr="00271AEE">
        <w:rPr>
          <w:lang w:val="fr-FR"/>
        </w:rPr>
        <w:t xml:space="preserve">Lorsque </w:t>
      </w:r>
      <w:r>
        <w:rPr>
          <w:lang w:val="fr-FR"/>
        </w:rPr>
        <w:t xml:space="preserve">le Tribunal juge qu’une liste </w:t>
      </w:r>
      <w:r w:rsidRPr="00271AEE">
        <w:rPr>
          <w:lang w:val="fr-FR"/>
        </w:rPr>
        <w:t>ne respecte pas ces critères, il peut la modifier avant de l’approuver ou encore faire des recommandations aux parties.</w:t>
      </w:r>
    </w:p>
    <w:p w14:paraId="098027B9" w14:textId="77777777" w:rsidR="00742B33" w:rsidRDefault="00742B33" w:rsidP="00742B33">
      <w:pPr>
        <w:pStyle w:val="corpsdedcision"/>
        <w:rPr>
          <w:lang w:val="fr-FR"/>
        </w:rPr>
      </w:pPr>
      <w:r w:rsidRPr="005B799F">
        <w:lastRenderedPageBreak/>
        <w:t>Le Tribunal comprend que les</w:t>
      </w:r>
      <w:r>
        <w:t xml:space="preserve"> services prévus en annexe</w:t>
      </w:r>
      <w:r w:rsidRPr="005B799F">
        <w:t xml:space="preserve"> sont établis en fonction de ceux habituellement rendus par les salariés.</w:t>
      </w:r>
    </w:p>
    <w:p w14:paraId="65C3DE83" w14:textId="799E826B" w:rsidR="00497443" w:rsidRPr="00742B33" w:rsidRDefault="00742B33" w:rsidP="00742B33">
      <w:pPr>
        <w:pStyle w:val="corpsdedcision"/>
        <w:rPr>
          <w:lang w:val="fr-FR"/>
        </w:rPr>
      </w:pPr>
      <w:r w:rsidRPr="009D2487">
        <w:rPr>
          <w:lang w:val="fr-FR"/>
        </w:rPr>
        <w:t>Il comprend également que lorsque deux pourcentages de services à maintenir sont prévus pour une même catégorie de soins, le second chiffre, plus élevé, s’applique après le cumul de six jours de grève.</w:t>
      </w:r>
    </w:p>
    <w:p w14:paraId="2CC4B482" w14:textId="7DC93C6D" w:rsidR="00AF38A4" w:rsidRPr="00FD0032" w:rsidRDefault="00AF38A4" w:rsidP="00AF38A4">
      <w:pPr>
        <w:pStyle w:val="corpsdedcision"/>
        <w:rPr>
          <w:rFonts w:cs="Arial"/>
          <w:i/>
        </w:rPr>
      </w:pPr>
      <w:r w:rsidRPr="00FD0032">
        <w:t xml:space="preserve">Après analyse des positions des </w:t>
      </w:r>
      <w:r w:rsidR="009135CA">
        <w:t>parties</w:t>
      </w:r>
      <w:r w:rsidR="007D6BCD" w:rsidRPr="007D6BCD">
        <w:t>, le Tribunal considère que le maintien des services convenu par entente ou proposé par l’association accréditée, incluant la modification suivante, est suffisant pour éviter de mettre en danger la santé ou la sécurité pub</w:t>
      </w:r>
      <w:r w:rsidRPr="00FD0032">
        <w:t>lique :</w:t>
      </w:r>
    </w:p>
    <w:tbl>
      <w:tblPr>
        <w:tblStyle w:val="Grilledutableau"/>
        <w:tblW w:w="0" w:type="auto"/>
        <w:tblInd w:w="1417" w:type="dxa"/>
        <w:tblLook w:val="04A0" w:firstRow="1" w:lastRow="0" w:firstColumn="1" w:lastColumn="0" w:noHBand="0" w:noVBand="1"/>
      </w:tblPr>
      <w:tblGrid>
        <w:gridCol w:w="2406"/>
        <w:gridCol w:w="2268"/>
        <w:gridCol w:w="2338"/>
      </w:tblGrid>
      <w:tr w:rsidR="00AF38A4" w:rsidRPr="00B21989" w14:paraId="3BB5C97D" w14:textId="77777777" w:rsidTr="00AF38A4">
        <w:tc>
          <w:tcPr>
            <w:tcW w:w="2406" w:type="dxa"/>
          </w:tcPr>
          <w:p w14:paraId="114DB061" w14:textId="77777777" w:rsidR="00AF38A4" w:rsidRPr="00B21989" w:rsidRDefault="00AF38A4" w:rsidP="00B534FD">
            <w:pPr>
              <w:tabs>
                <w:tab w:val="left" w:pos="720"/>
              </w:tabs>
              <w:jc w:val="center"/>
              <w:rPr>
                <w:sz w:val="20"/>
                <w:highlight w:val="yellow"/>
              </w:rPr>
            </w:pPr>
            <w:r w:rsidRPr="00B21989">
              <w:rPr>
                <w:sz w:val="20"/>
              </w:rPr>
              <w:t>Installations</w:t>
            </w:r>
          </w:p>
        </w:tc>
        <w:tc>
          <w:tcPr>
            <w:tcW w:w="2268" w:type="dxa"/>
          </w:tcPr>
          <w:p w14:paraId="6C7421D9" w14:textId="77777777" w:rsidR="00AF38A4" w:rsidRPr="00B21989" w:rsidRDefault="00AF38A4" w:rsidP="00B534FD">
            <w:pPr>
              <w:tabs>
                <w:tab w:val="left" w:pos="720"/>
              </w:tabs>
              <w:rPr>
                <w:sz w:val="20"/>
                <w:highlight w:val="yellow"/>
              </w:rPr>
            </w:pPr>
            <w:r w:rsidRPr="00B21989">
              <w:rPr>
                <w:sz w:val="20"/>
              </w:rPr>
              <w:t>Unités de soins, catégories de soins ou de services</w:t>
            </w:r>
          </w:p>
        </w:tc>
        <w:tc>
          <w:tcPr>
            <w:tcW w:w="2338" w:type="dxa"/>
          </w:tcPr>
          <w:p w14:paraId="3E436CE8" w14:textId="77777777" w:rsidR="00AF38A4" w:rsidRPr="00B21989" w:rsidRDefault="00AF38A4" w:rsidP="00B534FD">
            <w:pPr>
              <w:tabs>
                <w:tab w:val="left" w:pos="720"/>
              </w:tabs>
              <w:rPr>
                <w:sz w:val="20"/>
                <w:highlight w:val="yellow"/>
              </w:rPr>
            </w:pPr>
            <w:r w:rsidRPr="00B21989">
              <w:rPr>
                <w:sz w:val="20"/>
              </w:rPr>
              <w:t>Pourcentage de temps travaillé et modalités particulières</w:t>
            </w:r>
          </w:p>
        </w:tc>
      </w:tr>
      <w:tr w:rsidR="00AF38A4" w:rsidRPr="00B21989" w14:paraId="06731718" w14:textId="77777777" w:rsidTr="00AF38A4">
        <w:tc>
          <w:tcPr>
            <w:tcW w:w="2406" w:type="dxa"/>
            <w:vMerge w:val="restart"/>
            <w:vAlign w:val="center"/>
          </w:tcPr>
          <w:p w14:paraId="47FF85A5" w14:textId="77777777" w:rsidR="00AF38A4" w:rsidRPr="00B21989" w:rsidRDefault="00AF38A4" w:rsidP="001A2D49">
            <w:pPr>
              <w:tabs>
                <w:tab w:val="left" w:pos="720"/>
              </w:tabs>
              <w:spacing w:after="360"/>
              <w:rPr>
                <w:highlight w:val="yellow"/>
              </w:rPr>
            </w:pPr>
            <w:r w:rsidRPr="00FD0032">
              <w:t xml:space="preserve">CHSLD Providence Notre-Dame de Lourdes </w:t>
            </w:r>
            <w:proofErr w:type="spellStart"/>
            <w:r w:rsidRPr="00FD0032">
              <w:t>inc.</w:t>
            </w:r>
            <w:proofErr w:type="spellEnd"/>
          </w:p>
        </w:tc>
        <w:tc>
          <w:tcPr>
            <w:tcW w:w="2268" w:type="dxa"/>
          </w:tcPr>
          <w:p w14:paraId="30B6DE7D" w14:textId="77777777" w:rsidR="00AF38A4" w:rsidRPr="00FD0032" w:rsidRDefault="00AF38A4" w:rsidP="00B534FD">
            <w:pPr>
              <w:tabs>
                <w:tab w:val="left" w:pos="720"/>
              </w:tabs>
            </w:pPr>
            <w:r w:rsidRPr="00984CC0">
              <w:t>Hygiène et salubrité</w:t>
            </w:r>
          </w:p>
        </w:tc>
        <w:tc>
          <w:tcPr>
            <w:tcW w:w="2338" w:type="dxa"/>
          </w:tcPr>
          <w:p w14:paraId="72822930" w14:textId="77777777" w:rsidR="00AF38A4" w:rsidRPr="00B21989" w:rsidRDefault="00AF38A4" w:rsidP="00B534FD">
            <w:pPr>
              <w:tabs>
                <w:tab w:val="left" w:pos="720"/>
              </w:tabs>
              <w:spacing w:after="360"/>
              <w:rPr>
                <w:highlight w:val="yellow"/>
              </w:rPr>
            </w:pPr>
            <w:r>
              <w:t>8</w:t>
            </w:r>
            <w:r w:rsidRPr="00FD0032">
              <w:t>0%</w:t>
            </w:r>
          </w:p>
        </w:tc>
      </w:tr>
      <w:tr w:rsidR="00AF38A4" w:rsidRPr="00B21989" w14:paraId="63F72301" w14:textId="77777777" w:rsidTr="00AF38A4">
        <w:tc>
          <w:tcPr>
            <w:tcW w:w="2406" w:type="dxa"/>
            <w:vMerge/>
          </w:tcPr>
          <w:p w14:paraId="0849A28D" w14:textId="77777777" w:rsidR="00AF38A4" w:rsidRPr="00B21989" w:rsidRDefault="00AF38A4" w:rsidP="00B534FD">
            <w:pPr>
              <w:tabs>
                <w:tab w:val="left" w:pos="720"/>
              </w:tabs>
              <w:spacing w:after="360"/>
              <w:rPr>
                <w:highlight w:val="yellow"/>
              </w:rPr>
            </w:pPr>
          </w:p>
        </w:tc>
        <w:tc>
          <w:tcPr>
            <w:tcW w:w="2268" w:type="dxa"/>
          </w:tcPr>
          <w:p w14:paraId="0BEDC2DC" w14:textId="5760C6C6" w:rsidR="00AF38A4" w:rsidRPr="00B21989" w:rsidRDefault="00AF38A4" w:rsidP="00B534FD">
            <w:pPr>
              <w:tabs>
                <w:tab w:val="left" w:pos="720"/>
              </w:tabs>
              <w:rPr>
                <w:highlight w:val="yellow"/>
              </w:rPr>
            </w:pPr>
            <w:r>
              <w:t>Pharmacie</w:t>
            </w:r>
          </w:p>
        </w:tc>
        <w:tc>
          <w:tcPr>
            <w:tcW w:w="2338" w:type="dxa"/>
          </w:tcPr>
          <w:p w14:paraId="3B5917E9" w14:textId="06C4560B" w:rsidR="00AF38A4" w:rsidRPr="00B21989" w:rsidRDefault="00AF38A4" w:rsidP="00B534FD">
            <w:pPr>
              <w:tabs>
                <w:tab w:val="left" w:pos="720"/>
              </w:tabs>
              <w:rPr>
                <w:highlight w:val="yellow"/>
              </w:rPr>
            </w:pPr>
            <w:r w:rsidRPr="00FD0032">
              <w:t>80%</w:t>
            </w:r>
            <w:r>
              <w:t xml:space="preserve"> / 90%</w:t>
            </w:r>
          </w:p>
        </w:tc>
      </w:tr>
    </w:tbl>
    <w:p w14:paraId="7FCA5480" w14:textId="77777777" w:rsidR="00AF38A4" w:rsidRPr="00AF38A4" w:rsidRDefault="00AF38A4" w:rsidP="00AF38A4">
      <w:pPr>
        <w:pStyle w:val="corpsdedcision"/>
        <w:numPr>
          <w:ilvl w:val="0"/>
          <w:numId w:val="0"/>
        </w:numPr>
        <w:tabs>
          <w:tab w:val="clear" w:pos="720"/>
        </w:tabs>
        <w:rPr>
          <w:lang w:val="fr-FR"/>
        </w:rPr>
      </w:pPr>
    </w:p>
    <w:p w14:paraId="668AEDEB" w14:textId="77777777" w:rsidR="00AC5E3B" w:rsidRDefault="00AC5E3B">
      <w:pPr>
        <w:pStyle w:val="corpsdedcision"/>
        <w:tabs>
          <w:tab w:val="num" w:pos="720"/>
        </w:tabs>
        <w:rPr>
          <w:lang w:val="fr-FR"/>
        </w:rPr>
      </w:pPr>
      <w:r>
        <w:t>De plus, l</w:t>
      </w:r>
      <w:r>
        <w:rPr>
          <w:lang w:val="fr-FR"/>
        </w:rPr>
        <w:t>e Tribunal précise que les dispositions suivantes font partie intégrante de la liste :</w:t>
      </w:r>
      <w:r w:rsidRPr="00500830">
        <w:rPr>
          <w:lang w:val="fr-FR"/>
        </w:rPr>
        <w:t xml:space="preserve"> </w:t>
      </w:r>
    </w:p>
    <w:p w14:paraId="7AD63D04" w14:textId="77777777" w:rsidR="00AC5E3B" w:rsidRDefault="00AC5E3B" w:rsidP="00AC5E3B">
      <w:pPr>
        <w:pStyle w:val="corpsdedcision"/>
        <w:numPr>
          <w:ilvl w:val="0"/>
          <w:numId w:val="8"/>
        </w:numPr>
        <w:tabs>
          <w:tab w:val="clear" w:pos="720"/>
        </w:tabs>
      </w:pPr>
      <w:r w:rsidRPr="00500830">
        <w:t>Le temps de grève s’exercera à tour de rôle si cela est nécessaire pour ne pas mettre en danger l</w:t>
      </w:r>
      <w:r>
        <w:t>a santé ou la sécurité publique;</w:t>
      </w:r>
    </w:p>
    <w:p w14:paraId="07EFAAD5" w14:textId="77777777" w:rsidR="00AC5E3B" w:rsidRDefault="00AC5E3B" w:rsidP="00AC5E3B">
      <w:pPr>
        <w:pStyle w:val="corpsdedcision"/>
        <w:numPr>
          <w:ilvl w:val="0"/>
          <w:numId w:val="8"/>
        </w:numPr>
        <w:tabs>
          <w:tab w:val="clear" w:pos="720"/>
        </w:tabs>
      </w:pPr>
      <w:r w:rsidRPr="00500830">
        <w:t>Un salarié accomplissant seul les fonctions de son titre d’emploi ne doit pas interrompre la continuité des soins et des services si cela a pour effet de mettre en danger la santé ou la sécurité publique</w:t>
      </w:r>
      <w:r>
        <w:t>;</w:t>
      </w:r>
    </w:p>
    <w:p w14:paraId="107961E8" w14:textId="77777777" w:rsidR="00AC5E3B" w:rsidRDefault="00AC5E3B" w:rsidP="00AC5E3B">
      <w:pPr>
        <w:pStyle w:val="corpsdedcision"/>
        <w:numPr>
          <w:ilvl w:val="0"/>
          <w:numId w:val="8"/>
        </w:numPr>
        <w:tabs>
          <w:tab w:val="clear" w:pos="720"/>
        </w:tabs>
      </w:pPr>
      <w:r w:rsidRPr="00500830">
        <w:t>Le temps de grève s’établit en fonction des horaires normaux de travail des salariés habituellement affectés dans ch</w:t>
      </w:r>
      <w:r>
        <w:t>acune des catégories de soins ou</w:t>
      </w:r>
      <w:r w:rsidRPr="00500830">
        <w:t xml:space="preserve"> de services et d</w:t>
      </w:r>
      <w:r>
        <w:t>ans chacune des unités de soins;</w:t>
      </w:r>
    </w:p>
    <w:p w14:paraId="1BADC16C" w14:textId="77777777" w:rsidR="00AC5E3B" w:rsidRDefault="00AC5E3B" w:rsidP="00AC5E3B">
      <w:pPr>
        <w:pStyle w:val="corpsdedcision"/>
        <w:numPr>
          <w:ilvl w:val="0"/>
          <w:numId w:val="8"/>
        </w:numPr>
        <w:tabs>
          <w:tab w:val="clear" w:pos="720"/>
        </w:tabs>
      </w:pPr>
      <w:r w:rsidRPr="006755AD">
        <w:t>Le fonctionnement normal des unités de soins intensifs et d’urgence sera assuré, le cas échéant;</w:t>
      </w:r>
    </w:p>
    <w:p w14:paraId="73E2124A" w14:textId="77777777" w:rsidR="00AC5E3B" w:rsidRDefault="00AC5E3B" w:rsidP="00AC5E3B">
      <w:pPr>
        <w:pStyle w:val="corpsdedcision"/>
        <w:numPr>
          <w:ilvl w:val="0"/>
          <w:numId w:val="8"/>
        </w:numPr>
        <w:tabs>
          <w:tab w:val="clear" w:pos="720"/>
        </w:tabs>
      </w:pPr>
      <w:r w:rsidRPr="006755AD">
        <w:t>Le libre accès d’une personne aux services</w:t>
      </w:r>
      <w:r>
        <w:t xml:space="preserve"> de l’établissement sera assuré;</w:t>
      </w:r>
    </w:p>
    <w:p w14:paraId="42E49AB7" w14:textId="77777777" w:rsidR="00AC5E3B" w:rsidRDefault="00AC5E3B" w:rsidP="00AC5E3B">
      <w:pPr>
        <w:pStyle w:val="corpsdedcision"/>
        <w:numPr>
          <w:ilvl w:val="0"/>
          <w:numId w:val="8"/>
        </w:numPr>
        <w:tabs>
          <w:tab w:val="clear" w:pos="720"/>
        </w:tabs>
      </w:pPr>
      <w:r w:rsidRPr="006755AD">
        <w:lastRenderedPageBreak/>
        <w:t>Afin de voir à l’application des services essentiels chacune des parties désignera une ou des personnes responsables des communications ainsi que les moyens mis en place pour assurer ces communications</w:t>
      </w:r>
      <w:r>
        <w:t>.</w:t>
      </w:r>
    </w:p>
    <w:p w14:paraId="571045CE" w14:textId="77777777" w:rsidR="00AC5E3B" w:rsidRPr="00500077" w:rsidRDefault="00AC5E3B">
      <w:pPr>
        <w:pStyle w:val="corpsdedcision"/>
        <w:tabs>
          <w:tab w:val="num" w:pos="720"/>
        </w:tabs>
      </w:pPr>
      <w:r w:rsidRPr="00500077">
        <w:t>Compte tenu de la pandémie de COVID-19 et de ses conséquences sur le réseau de la santé et des services sociaux, le Tribunal estime que des mesures particulières doivent être mise</w:t>
      </w:r>
      <w:r>
        <w:t>s</w:t>
      </w:r>
      <w:r w:rsidRPr="00500077">
        <w:t xml:space="preserve"> en place pour éviter de mettre en danger la santé </w:t>
      </w:r>
      <w:r>
        <w:t>ou la</w:t>
      </w:r>
      <w:r w:rsidRPr="00500077">
        <w:t xml:space="preserve"> sécurité publique pendant la grève. Ainsi pendant la durée de l’état d’urgence sanitaire déclaré par les autorités gouvernementales en raison de cette pandémie, le fonctionnement normal des centres d’évaluation et de dépistage de la COVID-19 doit être assuré. De plus, l’association accréditée fournit, sans délai, les salariés nécessaires pour faire face à cette pandémie dans les unités de soins et dans les catégories de soins ou de services désignées par l’employeur. </w:t>
      </w:r>
    </w:p>
    <w:p w14:paraId="2652DC2F" w14:textId="77777777" w:rsidR="00AC5E3B" w:rsidRDefault="00AC5E3B">
      <w:pPr>
        <w:pStyle w:val="corpsdedcision"/>
        <w:tabs>
          <w:tab w:val="num" w:pos="720"/>
        </w:tabs>
      </w:pPr>
      <w:r>
        <w:t>Pour toute autre situation non prévue, les parties négocient rapidement le nombre de salariés requis pour répondre à la situation. Cependant, s’il survient une situation urgente mettant en cause la santé ou la sécurité publique, l’association accréditée fournit sans délai, à la demande de l’employeur, les salariés nécessaires pour y faire face.</w:t>
      </w:r>
    </w:p>
    <w:p w14:paraId="53D5C393" w14:textId="77777777" w:rsidR="00AC5E3B" w:rsidRDefault="00AC5E3B">
      <w:pPr>
        <w:pStyle w:val="corpsdedcision"/>
        <w:tabs>
          <w:tab w:val="num" w:pos="720"/>
        </w:tabs>
      </w:pPr>
      <w:r>
        <w:t xml:space="preserve">Dans tous les cas, les demandes d’effectifs supplémentaires pour assurer les services essentiels doivent le moins possible </w:t>
      </w:r>
      <w:proofErr w:type="gramStart"/>
      <w:r>
        <w:t>porter</w:t>
      </w:r>
      <w:proofErr w:type="gramEnd"/>
      <w:r>
        <w:t xml:space="preserve"> atteinte au droit de grève.</w:t>
      </w:r>
    </w:p>
    <w:p w14:paraId="4ABCC9B3" w14:textId="77777777" w:rsidR="00AC5E3B" w:rsidRPr="00D418DA" w:rsidRDefault="00AC5E3B">
      <w:pPr>
        <w:pStyle w:val="corpsdedcision"/>
        <w:tabs>
          <w:tab w:val="num" w:pos="720"/>
        </w:tabs>
      </w:pPr>
      <w:r w:rsidRPr="00A67864">
        <w:t xml:space="preserve">Sur demande de l’une ou l’autre des parties, celles-ci se réuniront pour résoudre tout problème découlant de l’application de la présente. À défaut, l’une ou l’autre des parties avise le Tribunal afin </w:t>
      </w:r>
      <w:r>
        <w:t>qu’il</w:t>
      </w:r>
      <w:r w:rsidRPr="00A67864">
        <w:t xml:space="preserve"> p</w:t>
      </w:r>
      <w:r>
        <w:t>uisse fournir l’aide nécessaire.</w:t>
      </w:r>
    </w:p>
    <w:p w14:paraId="4792B610" w14:textId="77777777" w:rsidR="00AC5E3B" w:rsidRDefault="00AC5E3B">
      <w:pPr>
        <w:pStyle w:val="corpsdedcision"/>
        <w:tabs>
          <w:tab w:val="num" w:pos="720"/>
        </w:tabs>
      </w:pPr>
      <w:r>
        <w:t>La liste approuvée s’applique jusqu’à la signature de la convention collective ou de ce qui en tient lieu et elle ne peut être modifiée sans l’approbation du Tribunal.</w:t>
      </w:r>
    </w:p>
    <w:p w14:paraId="625F5C14" w14:textId="1D7E8B78" w:rsidR="00C74B6F" w:rsidRDefault="00AC5E3B" w:rsidP="00AC5E3B">
      <w:pPr>
        <w:pStyle w:val="corpsdedcision"/>
        <w:tabs>
          <w:tab w:val="num" w:pos="720"/>
        </w:tabs>
      </w:pPr>
      <w:r>
        <w:t>C</w:t>
      </w:r>
      <w:r w:rsidRPr="00106397">
        <w:t xml:space="preserve">ompte tenu des modifications et précisions apportées, </w:t>
      </w:r>
      <w:r>
        <w:t xml:space="preserve">le Tribunal conclut </w:t>
      </w:r>
      <w:r w:rsidRPr="00106397">
        <w:t xml:space="preserve">que </w:t>
      </w:r>
      <w:r>
        <w:t>la liste annexée à la présente décision</w:t>
      </w:r>
      <w:r w:rsidRPr="00106397">
        <w:t xml:space="preserve"> est conforme au Code</w:t>
      </w:r>
      <w:r>
        <w:t xml:space="preserve"> et que les services essentiels qui y sont prévus sont suffisants pour éviter de mettre en danger la santé </w:t>
      </w:r>
      <w:r w:rsidR="00CE4D5E">
        <w:t>ou</w:t>
      </w:r>
      <w:r>
        <w:t xml:space="preserve"> la sécurité publique</w:t>
      </w:r>
      <w:r w:rsidRPr="00106397">
        <w:t>.</w:t>
      </w:r>
    </w:p>
    <w:p w14:paraId="7F5C440D" w14:textId="77777777" w:rsidR="00C74B6F" w:rsidRDefault="00C74B6F">
      <w:pPr>
        <w:pStyle w:val="Dispositif"/>
      </w:pPr>
      <w:r>
        <w:rPr>
          <w:b/>
        </w:rPr>
        <w:t>P</w:t>
      </w:r>
      <w:r w:rsidR="00D07FA6">
        <w:rPr>
          <w:b/>
        </w:rPr>
        <w:t>AR CES MOTIFS, LE TRIBUNAL ADMINISTRATIF DU TRAVAIL</w:t>
      </w:r>
      <w:r>
        <w:rPr>
          <w:b/>
        </w:rPr>
        <w:t> :</w:t>
      </w:r>
    </w:p>
    <w:p w14:paraId="11ABB04B" w14:textId="77777777" w:rsidR="00AC5E3B" w:rsidRDefault="00AC5E3B">
      <w:pPr>
        <w:pStyle w:val="ParagConclusion"/>
        <w:keepNext/>
        <w:keepLines/>
        <w:spacing w:before="360" w:after="360"/>
        <w:ind w:left="2449" w:hanging="2449"/>
        <w:jc w:val="both"/>
      </w:pPr>
      <w:r w:rsidRPr="009831C8">
        <w:rPr>
          <w:b/>
          <w:bCs/>
        </w:rPr>
        <w:t>DÉCLARE</w:t>
      </w:r>
      <w:r w:rsidRPr="009831C8">
        <w:rPr>
          <w:b/>
          <w:bCs/>
        </w:rPr>
        <w:tab/>
      </w:r>
      <w:r w:rsidRPr="009831C8">
        <w:t xml:space="preserve">que les services essentiels à maintenir pendant une grève sont ceux énumérés à </w:t>
      </w:r>
      <w:r>
        <w:t>la liste</w:t>
      </w:r>
      <w:r w:rsidRPr="009D6B8D">
        <w:t xml:space="preserve"> </w:t>
      </w:r>
      <w:r>
        <w:t>ci-</w:t>
      </w:r>
      <w:r w:rsidRPr="009831C8">
        <w:t>annexée</w:t>
      </w:r>
      <w:r>
        <w:t>, incluant les modifications et les précisions apportées par la présente décision;</w:t>
      </w:r>
    </w:p>
    <w:p w14:paraId="0296F39C" w14:textId="77777777" w:rsidR="00AC5E3B" w:rsidRPr="009831C8" w:rsidRDefault="00AC5E3B">
      <w:pPr>
        <w:pStyle w:val="ParagConclusion"/>
        <w:spacing w:before="360" w:after="360"/>
        <w:ind w:left="2449" w:hanging="2449"/>
        <w:jc w:val="both"/>
      </w:pPr>
      <w:r w:rsidRPr="009831C8">
        <w:rPr>
          <w:b/>
          <w:bCs/>
        </w:rPr>
        <w:t>DÉCLARE</w:t>
      </w:r>
      <w:r w:rsidRPr="009831C8">
        <w:tab/>
        <w:t>suffisants les services essentiels qui y sont prévus;</w:t>
      </w:r>
    </w:p>
    <w:p w14:paraId="740C4A49" w14:textId="77777777" w:rsidR="00AC5E3B" w:rsidRDefault="00AC5E3B">
      <w:pPr>
        <w:pStyle w:val="ParagConclusion"/>
        <w:spacing w:before="360"/>
        <w:ind w:left="2449" w:hanging="2449"/>
        <w:jc w:val="both"/>
      </w:pPr>
      <w:r w:rsidRPr="009831C8">
        <w:rPr>
          <w:b/>
          <w:bCs/>
        </w:rPr>
        <w:lastRenderedPageBreak/>
        <w:t>RAPPELLE</w:t>
      </w:r>
      <w:r w:rsidRPr="009831C8">
        <w:rPr>
          <w:b/>
          <w:bCs/>
        </w:rPr>
        <w:tab/>
      </w:r>
      <w:r w:rsidRPr="009831C8">
        <w:t xml:space="preserve">que nul ne peut déroger à une </w:t>
      </w:r>
      <w:r>
        <w:t xml:space="preserve">liste </w:t>
      </w:r>
      <w:r w:rsidRPr="009831C8">
        <w:t xml:space="preserve">approuvée par </w:t>
      </w:r>
      <w:r>
        <w:t>le Tribunal</w:t>
      </w:r>
      <w:r w:rsidRPr="009831C8">
        <w:t>.</w:t>
      </w:r>
    </w:p>
    <w:p w14:paraId="168ACF94" w14:textId="77777777" w:rsidR="00C74B6F" w:rsidRDefault="00C74B6F">
      <w:pPr>
        <w:pStyle w:val="Dispositif"/>
      </w:pPr>
    </w:p>
    <w:tbl>
      <w:tblPr>
        <w:tblW w:w="9590" w:type="dxa"/>
        <w:tblLayout w:type="fixed"/>
        <w:tblCellMar>
          <w:left w:w="70" w:type="dxa"/>
          <w:right w:w="70" w:type="dxa"/>
        </w:tblCellMar>
        <w:tblLook w:val="0000" w:firstRow="0" w:lastRow="0" w:firstColumn="0" w:lastColumn="0" w:noHBand="0" w:noVBand="0"/>
      </w:tblPr>
      <w:tblGrid>
        <w:gridCol w:w="4795"/>
        <w:gridCol w:w="4795"/>
      </w:tblGrid>
      <w:tr w:rsidR="00C74B6F" w14:paraId="49EAB521" w14:textId="77777777">
        <w:tc>
          <w:tcPr>
            <w:tcW w:w="4795" w:type="dxa"/>
          </w:tcPr>
          <w:p w14:paraId="664A3150" w14:textId="77777777" w:rsidR="00C74B6F" w:rsidRDefault="00C74B6F"/>
        </w:tc>
        <w:tc>
          <w:tcPr>
            <w:tcW w:w="4795" w:type="dxa"/>
          </w:tcPr>
          <w:p w14:paraId="4752AE04" w14:textId="77777777" w:rsidR="00C74B6F" w:rsidRDefault="00C74B6F">
            <w:bookmarkStart w:id="8" w:name="signature"/>
            <w:bookmarkEnd w:id="8"/>
            <w:r>
              <w:t>__________________________________</w:t>
            </w:r>
          </w:p>
        </w:tc>
      </w:tr>
      <w:tr w:rsidR="00C74B6F" w14:paraId="31EFA21A" w14:textId="77777777">
        <w:tc>
          <w:tcPr>
            <w:tcW w:w="4795" w:type="dxa"/>
          </w:tcPr>
          <w:p w14:paraId="4C339F7C" w14:textId="77777777" w:rsidR="00C74B6F" w:rsidRDefault="00C74B6F"/>
        </w:tc>
        <w:tc>
          <w:tcPr>
            <w:tcW w:w="4795" w:type="dxa"/>
          </w:tcPr>
          <w:p w14:paraId="737A327C" w14:textId="77777777" w:rsidR="00C74B6F" w:rsidRDefault="00611E30">
            <w:r w:rsidRPr="00611E30">
              <w:t>François Beaubien</w:t>
            </w:r>
          </w:p>
        </w:tc>
      </w:tr>
      <w:tr w:rsidR="00C74B6F" w14:paraId="6B0ACE65" w14:textId="77777777">
        <w:trPr>
          <w:cantSplit/>
        </w:trPr>
        <w:tc>
          <w:tcPr>
            <w:tcW w:w="9590" w:type="dxa"/>
            <w:gridSpan w:val="2"/>
          </w:tcPr>
          <w:p w14:paraId="512A9E61" w14:textId="77777777" w:rsidR="00C74B6F" w:rsidRDefault="00C74B6F"/>
        </w:tc>
      </w:tr>
      <w:tr w:rsidR="00C74B6F" w14:paraId="2C6BA91E" w14:textId="77777777">
        <w:trPr>
          <w:cantSplit/>
        </w:trPr>
        <w:tc>
          <w:tcPr>
            <w:tcW w:w="9590" w:type="dxa"/>
            <w:gridSpan w:val="2"/>
          </w:tcPr>
          <w:p w14:paraId="7023E741" w14:textId="77777777" w:rsidR="00C74B6F" w:rsidRDefault="00C74B6F"/>
        </w:tc>
      </w:tr>
      <w:tr w:rsidR="00611E30" w14:paraId="7409ED67" w14:textId="77777777">
        <w:trPr>
          <w:cantSplit/>
        </w:trPr>
        <w:tc>
          <w:tcPr>
            <w:tcW w:w="9590" w:type="dxa"/>
            <w:gridSpan w:val="2"/>
          </w:tcPr>
          <w:p w14:paraId="3943AB28" w14:textId="77777777" w:rsidR="00611E30" w:rsidRPr="00A42A0B" w:rsidRDefault="00611E30" w:rsidP="00611E30">
            <w:r w:rsidRPr="00A42A0B">
              <w:t>M</w:t>
            </w:r>
            <w:r w:rsidRPr="007F58F0">
              <w:rPr>
                <w:vertAlign w:val="superscript"/>
              </w:rPr>
              <w:t>e</w:t>
            </w:r>
            <w:r w:rsidRPr="00A42A0B">
              <w:t xml:space="preserve"> Jessie Caron</w:t>
            </w:r>
          </w:p>
        </w:tc>
      </w:tr>
      <w:tr w:rsidR="00611E30" w14:paraId="6D94E614" w14:textId="77777777">
        <w:trPr>
          <w:cantSplit/>
        </w:trPr>
        <w:tc>
          <w:tcPr>
            <w:tcW w:w="9590" w:type="dxa"/>
            <w:gridSpan w:val="2"/>
          </w:tcPr>
          <w:p w14:paraId="3BE57A62" w14:textId="3940FB11" w:rsidR="00611E30" w:rsidRPr="00A42A0B" w:rsidRDefault="00611E30" w:rsidP="007F58F0">
            <w:r w:rsidRPr="00A42A0B">
              <w:t>L</w:t>
            </w:r>
            <w:r w:rsidR="007F58F0">
              <w:t>AROCHE MARTIN</w:t>
            </w:r>
            <w:r w:rsidRPr="00A42A0B">
              <w:t xml:space="preserve"> </w:t>
            </w:r>
            <w:r w:rsidR="00375D86">
              <w:t>(</w:t>
            </w:r>
            <w:r w:rsidRPr="00A42A0B">
              <w:t>S</w:t>
            </w:r>
            <w:r w:rsidR="007F58F0">
              <w:t>ERVICE</w:t>
            </w:r>
            <w:r w:rsidRPr="00A42A0B">
              <w:t xml:space="preserve"> </w:t>
            </w:r>
            <w:r w:rsidR="007F58F0">
              <w:t>JURIDIQUE</w:t>
            </w:r>
            <w:r w:rsidRPr="00A42A0B">
              <w:t xml:space="preserve"> </w:t>
            </w:r>
            <w:r w:rsidR="007F58F0">
              <w:t>DE</w:t>
            </w:r>
            <w:r w:rsidRPr="00A42A0B">
              <w:t xml:space="preserve"> </w:t>
            </w:r>
            <w:r w:rsidR="007F58F0">
              <w:t>LA</w:t>
            </w:r>
            <w:r w:rsidRPr="00A42A0B">
              <w:t xml:space="preserve"> CSN</w:t>
            </w:r>
            <w:r w:rsidR="00375D86">
              <w:t>)</w:t>
            </w:r>
          </w:p>
        </w:tc>
      </w:tr>
      <w:tr w:rsidR="00611E30" w14:paraId="5F150212" w14:textId="77777777">
        <w:trPr>
          <w:cantSplit/>
        </w:trPr>
        <w:tc>
          <w:tcPr>
            <w:tcW w:w="9590" w:type="dxa"/>
            <w:gridSpan w:val="2"/>
          </w:tcPr>
          <w:p w14:paraId="044B7D5D" w14:textId="77777777" w:rsidR="00611E30" w:rsidRDefault="00611E30" w:rsidP="00611E30">
            <w:r w:rsidRPr="00A42A0B">
              <w:t>Pour l’association accréditée</w:t>
            </w:r>
          </w:p>
        </w:tc>
      </w:tr>
      <w:tr w:rsidR="007569DE" w14:paraId="66FD6359" w14:textId="77777777">
        <w:trPr>
          <w:cantSplit/>
        </w:trPr>
        <w:tc>
          <w:tcPr>
            <w:tcW w:w="9590" w:type="dxa"/>
            <w:gridSpan w:val="2"/>
          </w:tcPr>
          <w:p w14:paraId="43FD499A" w14:textId="77777777" w:rsidR="007569DE" w:rsidRDefault="007569DE"/>
        </w:tc>
      </w:tr>
      <w:tr w:rsidR="00611E30" w14:paraId="24DFDC37" w14:textId="77777777">
        <w:trPr>
          <w:cantSplit/>
        </w:trPr>
        <w:tc>
          <w:tcPr>
            <w:tcW w:w="9590" w:type="dxa"/>
            <w:gridSpan w:val="2"/>
          </w:tcPr>
          <w:p w14:paraId="21D93556" w14:textId="77777777" w:rsidR="00611E30" w:rsidRPr="00687B98" w:rsidRDefault="00611E30" w:rsidP="00611E30">
            <w:r w:rsidRPr="00687B98">
              <w:t>M</w:t>
            </w:r>
            <w:r w:rsidRPr="007F58F0">
              <w:rPr>
                <w:vertAlign w:val="superscript"/>
              </w:rPr>
              <w:t>e</w:t>
            </w:r>
            <w:r w:rsidRPr="00687B98">
              <w:t xml:space="preserve"> Éric Séguin</w:t>
            </w:r>
          </w:p>
        </w:tc>
      </w:tr>
      <w:tr w:rsidR="00611E30" w14:paraId="6EA095C8" w14:textId="77777777">
        <w:trPr>
          <w:cantSplit/>
        </w:trPr>
        <w:tc>
          <w:tcPr>
            <w:tcW w:w="9590" w:type="dxa"/>
            <w:gridSpan w:val="2"/>
          </w:tcPr>
          <w:p w14:paraId="3B0FF7C2" w14:textId="77777777" w:rsidR="00611E30" w:rsidRPr="00687B98" w:rsidRDefault="00611E30" w:rsidP="00611E30">
            <w:r w:rsidRPr="00687B98">
              <w:t>M</w:t>
            </w:r>
            <w:r w:rsidRPr="007F58F0">
              <w:rPr>
                <w:vertAlign w:val="superscript"/>
              </w:rPr>
              <w:t>e</w:t>
            </w:r>
            <w:r w:rsidRPr="00687B98">
              <w:t xml:space="preserve"> Guillaume Ducharme</w:t>
            </w:r>
          </w:p>
        </w:tc>
      </w:tr>
      <w:tr w:rsidR="00611E30" w:rsidRPr="001D4F36" w14:paraId="6B90EE0E" w14:textId="77777777">
        <w:trPr>
          <w:cantSplit/>
        </w:trPr>
        <w:tc>
          <w:tcPr>
            <w:tcW w:w="9590" w:type="dxa"/>
            <w:gridSpan w:val="2"/>
          </w:tcPr>
          <w:p w14:paraId="219EFE5D" w14:textId="089C4063" w:rsidR="00611E30" w:rsidRPr="00611E30" w:rsidRDefault="00611E30" w:rsidP="00611E30">
            <w:pPr>
              <w:rPr>
                <w:lang w:val="en-CA"/>
              </w:rPr>
            </w:pPr>
            <w:r w:rsidRPr="00611E30">
              <w:rPr>
                <w:lang w:val="en-CA"/>
              </w:rPr>
              <w:t>MONETTE BARAKETT , S.E.N.C.</w:t>
            </w:r>
          </w:p>
        </w:tc>
      </w:tr>
      <w:tr w:rsidR="00C15A3F" w:rsidRPr="007F58F0" w14:paraId="3069A2A2" w14:textId="77777777">
        <w:trPr>
          <w:cantSplit/>
        </w:trPr>
        <w:tc>
          <w:tcPr>
            <w:tcW w:w="9590" w:type="dxa"/>
            <w:gridSpan w:val="2"/>
          </w:tcPr>
          <w:p w14:paraId="320978BC" w14:textId="5F20B4EF" w:rsidR="00C15A3F" w:rsidRPr="00611E30" w:rsidRDefault="007F58F0">
            <w:pPr>
              <w:pStyle w:val="zSoquijlblProcureurInt"/>
              <w:rPr>
                <w:lang w:val="en-CA"/>
              </w:rPr>
            </w:pPr>
            <w:r w:rsidRPr="007F58F0">
              <w:rPr>
                <w:lang w:val="en-CA"/>
              </w:rPr>
              <w:t xml:space="preserve">Pour </w:t>
            </w:r>
            <w:proofErr w:type="spellStart"/>
            <w:r w:rsidRPr="007F58F0">
              <w:rPr>
                <w:lang w:val="en-CA"/>
              </w:rPr>
              <w:t>l’employeur</w:t>
            </w:r>
            <w:proofErr w:type="spellEnd"/>
          </w:p>
        </w:tc>
      </w:tr>
    </w:tbl>
    <w:p w14:paraId="34457571" w14:textId="77777777" w:rsidR="007F58F0" w:rsidRDefault="007F58F0" w:rsidP="00611E30">
      <w:pPr>
        <w:pStyle w:val="articlesdelaLSST"/>
        <w:ind w:left="0"/>
        <w:rPr>
          <w:lang w:val="en-CA"/>
        </w:rPr>
      </w:pPr>
      <w:bookmarkStart w:id="9" w:name="Date_derniere_audience"/>
      <w:bookmarkEnd w:id="9"/>
    </w:p>
    <w:p w14:paraId="5F90EEA0" w14:textId="17A16833" w:rsidR="00611E30" w:rsidRDefault="00C31E9F" w:rsidP="00611E30">
      <w:pPr>
        <w:pStyle w:val="articlesdelaLSST"/>
        <w:ind w:left="0"/>
        <w:rPr>
          <w:lang w:val="en-CA"/>
        </w:rPr>
      </w:pPr>
      <w:r>
        <w:rPr>
          <w:lang w:val="en-CA"/>
        </w:rPr>
        <w:t>FB</w:t>
      </w:r>
      <w:r w:rsidR="00611E30">
        <w:rPr>
          <w:lang w:val="en-CA"/>
        </w:rPr>
        <w:t>/ag</w:t>
      </w:r>
    </w:p>
    <w:p w14:paraId="561F5ECB" w14:textId="77777777" w:rsidR="00E93DFE" w:rsidRPr="00611E30" w:rsidRDefault="00611E30" w:rsidP="00611E30">
      <w:pPr>
        <w:pStyle w:val="articlesdelaLSST"/>
        <w:ind w:left="0"/>
        <w:rPr>
          <w:lang w:val="en-CA"/>
        </w:rPr>
      </w:pPr>
      <w:r>
        <w:rPr>
          <w:lang w:val="en-CA"/>
        </w:rPr>
        <w:br w:type="page"/>
      </w:r>
      <w:r w:rsidR="0081669E">
        <w:rPr>
          <w:noProof/>
        </w:rPr>
        <w:lastRenderedPageBreak/>
        <w:drawing>
          <wp:inline distT="0" distB="0" distL="0" distR="0" wp14:anchorId="0C847674" wp14:editId="50C0F869">
            <wp:extent cx="5942965" cy="7685405"/>
            <wp:effectExtent l="0" t="0" r="63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2965" cy="7685405"/>
                    </a:xfrm>
                    <a:prstGeom prst="rect">
                      <a:avLst/>
                    </a:prstGeom>
                    <a:noFill/>
                  </pic:spPr>
                </pic:pic>
              </a:graphicData>
            </a:graphic>
          </wp:inline>
        </w:drawing>
      </w:r>
      <w:r w:rsidR="0081669E">
        <w:rPr>
          <w:noProof/>
        </w:rPr>
        <w:lastRenderedPageBreak/>
        <w:drawing>
          <wp:inline distT="0" distB="0" distL="0" distR="0" wp14:anchorId="1606BDCC" wp14:editId="1BABF2EF">
            <wp:extent cx="5935980" cy="7178040"/>
            <wp:effectExtent l="0" t="0" r="7620" b="3810"/>
            <wp:docPr id="10" name="Image 10" descr="C:\Users\guza01\AppData\Local\Microsoft\Windows\INetCache\Content.Word\AM20004609_liste_amendee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guza01\AppData\Local\Microsoft\Windows\INetCache\Content.Word\AM20004609_liste_amendee_Page_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5980" cy="7178040"/>
                    </a:xfrm>
                    <a:prstGeom prst="rect">
                      <a:avLst/>
                    </a:prstGeom>
                    <a:noFill/>
                    <a:ln>
                      <a:noFill/>
                    </a:ln>
                  </pic:spPr>
                </pic:pic>
              </a:graphicData>
            </a:graphic>
          </wp:inline>
        </w:drawing>
      </w:r>
      <w:r w:rsidR="0081669E">
        <w:rPr>
          <w:noProof/>
        </w:rPr>
        <w:lastRenderedPageBreak/>
        <w:drawing>
          <wp:inline distT="0" distB="0" distL="0" distR="0" wp14:anchorId="2E937AAA" wp14:editId="6AD59C4E">
            <wp:extent cx="6408420" cy="8298180"/>
            <wp:effectExtent l="0" t="0" r="0" b="7620"/>
            <wp:docPr id="11" name="Image 11" descr="C:\Users\guza01\AppData\Local\Microsoft\Windows\INetCache\Content.Word\AM20004609_liste_amendee_Pag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uza01\AppData\Local\Microsoft\Windows\INetCache\Content.Word\AM20004609_liste_amendee_Page_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8420" cy="8298180"/>
                    </a:xfrm>
                    <a:prstGeom prst="rect">
                      <a:avLst/>
                    </a:prstGeom>
                    <a:noFill/>
                    <a:ln>
                      <a:noFill/>
                    </a:ln>
                  </pic:spPr>
                </pic:pic>
              </a:graphicData>
            </a:graphic>
          </wp:inline>
        </w:drawing>
      </w:r>
      <w:r w:rsidR="0081669E">
        <w:rPr>
          <w:noProof/>
        </w:rPr>
        <w:lastRenderedPageBreak/>
        <w:drawing>
          <wp:inline distT="0" distB="0" distL="0" distR="0" wp14:anchorId="1FDA404B" wp14:editId="12E13CB7">
            <wp:extent cx="6393180" cy="8275320"/>
            <wp:effectExtent l="0" t="0" r="7620" b="0"/>
            <wp:docPr id="12" name="Image 12" descr="C:\Users\guza01\AppData\Local\Microsoft\Windows\INetCache\Content.Word\AM20004609_liste_amendee_Pag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guza01\AppData\Local\Microsoft\Windows\INetCache\Content.Word\AM20004609_liste_amendee_Page_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93180" cy="8275320"/>
                    </a:xfrm>
                    <a:prstGeom prst="rect">
                      <a:avLst/>
                    </a:prstGeom>
                    <a:noFill/>
                    <a:ln>
                      <a:noFill/>
                    </a:ln>
                  </pic:spPr>
                </pic:pic>
              </a:graphicData>
            </a:graphic>
          </wp:inline>
        </w:drawing>
      </w:r>
      <w:r w:rsidR="0081669E">
        <w:rPr>
          <w:noProof/>
        </w:rPr>
        <w:lastRenderedPageBreak/>
        <w:drawing>
          <wp:inline distT="0" distB="0" distL="0" distR="0" wp14:anchorId="65E2E62F" wp14:editId="4CA591A2">
            <wp:extent cx="5935980" cy="7680960"/>
            <wp:effectExtent l="0" t="0" r="7620" b="0"/>
            <wp:docPr id="13" name="Image 13" descr="C:\Users\guza01\AppData\Local\Microsoft\Windows\INetCache\Content.Word\AM20004609_liste_amendee_Page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uza01\AppData\Local\Microsoft\Windows\INetCache\Content.Word\AM20004609_liste_amendee_Page_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5980" cy="7680960"/>
                    </a:xfrm>
                    <a:prstGeom prst="rect">
                      <a:avLst/>
                    </a:prstGeom>
                    <a:noFill/>
                    <a:ln>
                      <a:noFill/>
                    </a:ln>
                  </pic:spPr>
                </pic:pic>
              </a:graphicData>
            </a:graphic>
          </wp:inline>
        </w:drawing>
      </w:r>
    </w:p>
    <w:sectPr w:rsidR="00E93DFE" w:rsidRPr="00611E30">
      <w:headerReference w:type="default" r:id="rId12"/>
      <w:pgSz w:w="12240" w:h="15840" w:code="1"/>
      <w:pgMar w:top="1152"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6697D" w14:textId="77777777" w:rsidR="00B73C07" w:rsidRDefault="00B73C07">
      <w:r>
        <w:separator/>
      </w:r>
    </w:p>
  </w:endnote>
  <w:endnote w:type="continuationSeparator" w:id="0">
    <w:p w14:paraId="5117E523" w14:textId="77777777" w:rsidR="00B73C07" w:rsidRDefault="00B7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4BA7A" w14:textId="77777777" w:rsidR="00B73C07" w:rsidRDefault="00B73C07">
      <w:r>
        <w:separator/>
      </w:r>
    </w:p>
  </w:footnote>
  <w:footnote w:type="continuationSeparator" w:id="0">
    <w:p w14:paraId="5232014F" w14:textId="77777777" w:rsidR="00B73C07" w:rsidRDefault="00B73C07">
      <w:r>
        <w:continuationSeparator/>
      </w:r>
    </w:p>
  </w:footnote>
  <w:footnote w:id="1">
    <w:p w14:paraId="1EDE0F14" w14:textId="77777777" w:rsidR="00AC5E3B" w:rsidRDefault="00AC5E3B" w:rsidP="00D06312">
      <w:pPr>
        <w:pStyle w:val="Notedebasdepage"/>
        <w:tabs>
          <w:tab w:val="left" w:pos="720"/>
        </w:tabs>
        <w:ind w:left="720" w:hanging="720"/>
        <w:jc w:val="both"/>
      </w:pPr>
      <w:r>
        <w:rPr>
          <w:rStyle w:val="Appelnotedebasdep"/>
        </w:rPr>
        <w:footnoteRef/>
      </w:r>
      <w:r>
        <w:t xml:space="preserve"> </w:t>
      </w:r>
      <w:r>
        <w:rPr>
          <w:rFonts w:cs="Arial"/>
          <w:sz w:val="20"/>
        </w:rPr>
        <w:tab/>
      </w:r>
      <w:r w:rsidRPr="00BF1080">
        <w:rPr>
          <w:rFonts w:cs="Arial"/>
          <w:sz w:val="20"/>
        </w:rPr>
        <w:t>RLRQ, c. C-27</w:t>
      </w:r>
      <w:r>
        <w:rPr>
          <w:rFonts w:cs="Arial"/>
          <w:sz w:val="20"/>
        </w:rPr>
        <w:t>.</w:t>
      </w:r>
    </w:p>
  </w:footnote>
  <w:footnote w:id="2">
    <w:p w14:paraId="47F539F9" w14:textId="77777777" w:rsidR="00AC5E3B" w:rsidRPr="00122F94" w:rsidRDefault="00AC5E3B">
      <w:pPr>
        <w:pStyle w:val="Notedebasdepage"/>
        <w:rPr>
          <w:sz w:val="20"/>
        </w:rPr>
      </w:pPr>
      <w:r>
        <w:rPr>
          <w:rStyle w:val="Appelnotedebasdep"/>
        </w:rPr>
        <w:footnoteRef/>
      </w:r>
      <w:r>
        <w:t xml:space="preserve"> </w:t>
      </w:r>
      <w:r>
        <w:rPr>
          <w:sz w:val="20"/>
        </w:rPr>
        <w:t xml:space="preserve">          Cette liste est annexée à la présente décision.</w:t>
      </w:r>
    </w:p>
  </w:footnote>
  <w:footnote w:id="3">
    <w:p w14:paraId="4E5D7313" w14:textId="77777777" w:rsidR="00273101" w:rsidRPr="00EE58E2" w:rsidRDefault="00273101" w:rsidP="001752C4">
      <w:pPr>
        <w:pStyle w:val="Notedebasdepage"/>
        <w:tabs>
          <w:tab w:val="left" w:pos="720"/>
        </w:tabs>
        <w:ind w:left="720" w:hanging="720"/>
        <w:jc w:val="both"/>
        <w:rPr>
          <w:rFonts w:cs="Arial"/>
          <w:sz w:val="20"/>
        </w:rPr>
      </w:pPr>
      <w:r>
        <w:rPr>
          <w:rStyle w:val="Appelnotedebasdep"/>
        </w:rPr>
        <w:footnoteRef/>
      </w:r>
      <w:r>
        <w:t xml:space="preserve"> </w:t>
      </w:r>
      <w:r>
        <w:rPr>
          <w:rFonts w:cs="Arial"/>
          <w:sz w:val="20"/>
        </w:rPr>
        <w:tab/>
      </w:r>
      <w:r w:rsidRPr="00651617">
        <w:rPr>
          <w:rFonts w:cs="Arial"/>
          <w:i/>
          <w:sz w:val="20"/>
        </w:rPr>
        <w:t>Syndicat des travailleuses et travailleurs de la santé et des services sociaux de l'Outaouais — CSN</w:t>
      </w:r>
      <w:r w:rsidRPr="00651617">
        <w:rPr>
          <w:rFonts w:cs="Arial"/>
          <w:sz w:val="20"/>
        </w:rPr>
        <w:t xml:space="preserve"> c. </w:t>
      </w:r>
      <w:r w:rsidRPr="00651617">
        <w:rPr>
          <w:rFonts w:cs="Arial"/>
          <w:i/>
          <w:sz w:val="20"/>
        </w:rPr>
        <w:t>Centre intégré de santé et de services sociaux de l'Outaouais</w:t>
      </w:r>
      <w:r w:rsidRPr="00651617">
        <w:rPr>
          <w:rFonts w:cs="Arial"/>
          <w:sz w:val="20"/>
        </w:rPr>
        <w:t xml:space="preserve">, 2021 QCTAT 1427, demande de révision interne 1209747-71-2012 et </w:t>
      </w:r>
      <w:r w:rsidRPr="00651617">
        <w:rPr>
          <w:rFonts w:cs="Arial"/>
          <w:i/>
          <w:sz w:val="20"/>
        </w:rPr>
        <w:t>Syndicat des travailleuses et travailleurs de la santé et des services sociaux de l'Outaouais — CSN</w:t>
      </w:r>
      <w:r w:rsidRPr="00651617">
        <w:rPr>
          <w:rFonts w:cs="Arial"/>
          <w:sz w:val="20"/>
        </w:rPr>
        <w:t xml:space="preserve"> c. </w:t>
      </w:r>
      <w:r w:rsidRPr="00651617">
        <w:rPr>
          <w:rFonts w:cs="Arial"/>
          <w:i/>
          <w:sz w:val="20"/>
        </w:rPr>
        <w:t>Centre intégré de santé et de services sociaux de l'Outaouais</w:t>
      </w:r>
      <w:r w:rsidRPr="00651617">
        <w:rPr>
          <w:rFonts w:cs="Arial"/>
          <w:sz w:val="20"/>
        </w:rPr>
        <w:t>, 2021 QCTAT 1426, demande de révision interne, 1209743-71-2012.</w:t>
      </w:r>
      <w:r>
        <w:rPr>
          <w:rFonts w:cs="Arial"/>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0" w:type="dxa"/>
      <w:tblLayout w:type="fixed"/>
      <w:tblCellMar>
        <w:left w:w="70" w:type="dxa"/>
        <w:right w:w="70" w:type="dxa"/>
      </w:tblCellMar>
      <w:tblLook w:val="0000" w:firstRow="0" w:lastRow="0" w:firstColumn="0" w:lastColumn="0" w:noHBand="0" w:noVBand="0"/>
    </w:tblPr>
    <w:tblGrid>
      <w:gridCol w:w="8730"/>
      <w:gridCol w:w="860"/>
    </w:tblGrid>
    <w:tr w:rsidR="00DB0C8D" w14:paraId="0C8096E8" w14:textId="77777777">
      <w:tc>
        <w:tcPr>
          <w:tcW w:w="8730" w:type="dxa"/>
        </w:tcPr>
        <w:p w14:paraId="7AC59D7B" w14:textId="77777777" w:rsidR="00DB0C8D" w:rsidRDefault="00DB0C8D">
          <w:pPr>
            <w:pStyle w:val="En-tte"/>
            <w:ind w:left="-90"/>
          </w:pPr>
        </w:p>
      </w:tc>
      <w:tc>
        <w:tcPr>
          <w:tcW w:w="860" w:type="dxa"/>
        </w:tcPr>
        <w:p w14:paraId="0A377498" w14:textId="77777777" w:rsidR="00DB0C8D" w:rsidRDefault="00DB0C8D">
          <w:pPr>
            <w:pStyle w:val="En-tte"/>
            <w:ind w:left="-90"/>
          </w:pPr>
        </w:p>
      </w:tc>
    </w:tr>
    <w:tr w:rsidR="00DB0C8D" w14:paraId="5E60CFFD" w14:textId="77777777">
      <w:tc>
        <w:tcPr>
          <w:tcW w:w="8730" w:type="dxa"/>
        </w:tcPr>
        <w:p w14:paraId="3C29F1C9" w14:textId="77777777" w:rsidR="00DB0C8D" w:rsidRDefault="00611E30">
          <w:r w:rsidRPr="00611E30">
            <w:t>1218812-71-2103</w:t>
          </w:r>
        </w:p>
      </w:tc>
      <w:tc>
        <w:tcPr>
          <w:tcW w:w="860" w:type="dxa"/>
        </w:tcPr>
        <w:p w14:paraId="302D8C01" w14:textId="77777777" w:rsidR="00DB0C8D" w:rsidRDefault="00DB0C8D">
          <w:pPr>
            <w:pStyle w:val="En-tte"/>
            <w:ind w:left="-90"/>
            <w:jc w:val="right"/>
            <w:rPr>
              <w:rStyle w:val="Numrodepage"/>
            </w:rPr>
          </w:pPr>
          <w:r>
            <w:rPr>
              <w:rStyle w:val="Numrodepage"/>
            </w:rPr>
            <w:fldChar w:fldCharType="begin"/>
          </w:r>
          <w:r>
            <w:rPr>
              <w:rStyle w:val="Numrodepage"/>
            </w:rPr>
            <w:instrText xml:space="preserve"> PAGE </w:instrText>
          </w:r>
          <w:r>
            <w:rPr>
              <w:rStyle w:val="Numrodepage"/>
            </w:rPr>
            <w:fldChar w:fldCharType="separate"/>
          </w:r>
          <w:r w:rsidR="001D4F36">
            <w:rPr>
              <w:rStyle w:val="Numrodepage"/>
              <w:noProof/>
            </w:rPr>
            <w:t>10</w:t>
          </w:r>
          <w:r>
            <w:rPr>
              <w:rStyle w:val="Numrodepage"/>
            </w:rPr>
            <w:fldChar w:fldCharType="end"/>
          </w:r>
        </w:p>
      </w:tc>
    </w:tr>
    <w:tr w:rsidR="00DB0C8D" w14:paraId="2F5F1791" w14:textId="77777777">
      <w:tc>
        <w:tcPr>
          <w:tcW w:w="8730" w:type="dxa"/>
        </w:tcPr>
        <w:p w14:paraId="4317FDA5" w14:textId="77777777" w:rsidR="00DB0C8D" w:rsidRDefault="00DB0C8D"/>
      </w:tc>
      <w:tc>
        <w:tcPr>
          <w:tcW w:w="860" w:type="dxa"/>
        </w:tcPr>
        <w:p w14:paraId="0A6A6987" w14:textId="77777777" w:rsidR="00DB0C8D" w:rsidRDefault="00DB0C8D">
          <w:pPr>
            <w:pStyle w:val="En-tte"/>
            <w:ind w:left="-90"/>
            <w:jc w:val="right"/>
          </w:pPr>
        </w:p>
      </w:tc>
    </w:tr>
  </w:tbl>
  <w:p w14:paraId="6E17E001" w14:textId="77777777" w:rsidR="00DB0C8D" w:rsidRDefault="00DB0C8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93D91"/>
    <w:multiLevelType w:val="multilevel"/>
    <w:tmpl w:val="4240187C"/>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nsid w:val="31CE60E0"/>
    <w:multiLevelType w:val="singleLevel"/>
    <w:tmpl w:val="0C0C000F"/>
    <w:lvl w:ilvl="0">
      <w:start w:val="1"/>
      <w:numFmt w:val="decimal"/>
      <w:lvlText w:val="%1."/>
      <w:lvlJc w:val="left"/>
      <w:pPr>
        <w:tabs>
          <w:tab w:val="num" w:pos="360"/>
        </w:tabs>
        <w:ind w:left="360" w:hanging="360"/>
      </w:pPr>
    </w:lvl>
  </w:abstractNum>
  <w:abstractNum w:abstractNumId="2">
    <w:nsid w:val="6DD1284B"/>
    <w:multiLevelType w:val="hybridMultilevel"/>
    <w:tmpl w:val="1AFED00C"/>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nsid w:val="6F030813"/>
    <w:multiLevelType w:val="multilevel"/>
    <w:tmpl w:val="0C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737A6EAF"/>
    <w:multiLevelType w:val="multilevel"/>
    <w:tmpl w:val="0C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5917C39"/>
    <w:multiLevelType w:val="multilevel"/>
    <w:tmpl w:val="0042494C"/>
    <w:lvl w:ilvl="0">
      <w:start w:val="1"/>
      <w:numFmt w:val="decimal"/>
      <w:lvlText w:val="[%1]"/>
      <w:lvlJc w:val="left"/>
      <w:pPr>
        <w:tabs>
          <w:tab w:val="num" w:pos="720"/>
        </w:tabs>
        <w:ind w:left="720" w:hanging="72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6">
    <w:nsid w:val="76556088"/>
    <w:multiLevelType w:val="multilevel"/>
    <w:tmpl w:val="76B46572"/>
    <w:lvl w:ilvl="0">
      <w:start w:val="1"/>
      <w:numFmt w:val="decimal"/>
      <w:pStyle w:val="corpsdedcision"/>
      <w:lvlText w:val="[%1]"/>
      <w:lvlJc w:val="left"/>
      <w:pPr>
        <w:tabs>
          <w:tab w:val="num" w:pos="360"/>
        </w:tabs>
        <w:ind w:left="0" w:firstLine="0"/>
      </w:pPr>
      <w:rPr>
        <w:i w:val="0"/>
        <w:iCs/>
      </w:rPr>
    </w:lvl>
    <w:lvl w:ilvl="1">
      <w:start w:val="1"/>
      <w:numFmt w:val="decimal"/>
      <w:lvlRestart w:val="0"/>
      <w:lvlText w:val="[%1.%2]"/>
      <w:lvlJc w:val="left"/>
      <w:pPr>
        <w:tabs>
          <w:tab w:val="num" w:pos="1080"/>
        </w:tabs>
        <w:ind w:left="360" w:firstLine="0"/>
      </w:pPr>
    </w:lvl>
    <w:lvl w:ilvl="2">
      <w:start w:val="1"/>
      <w:numFmt w:val="decimal"/>
      <w:lvlRestart w:val="0"/>
      <w:lvlText w:val="[%1.%2.%3]"/>
      <w:lvlJc w:val="left"/>
      <w:pPr>
        <w:tabs>
          <w:tab w:val="num" w:pos="1440"/>
        </w:tabs>
        <w:ind w:left="720" w:firstLine="0"/>
      </w:pPr>
    </w:lvl>
    <w:lvl w:ilvl="3">
      <w:start w:val="1"/>
      <w:numFmt w:val="decimal"/>
      <w:lvlRestart w:val="0"/>
      <w:lvlText w:val="[%1.%2.%3.%4]"/>
      <w:lvlJc w:val="left"/>
      <w:pPr>
        <w:tabs>
          <w:tab w:val="num" w:pos="2160"/>
        </w:tabs>
        <w:ind w:left="1080" w:firstLine="0"/>
      </w:pPr>
    </w:lvl>
    <w:lvl w:ilvl="4">
      <w:start w:val="1"/>
      <w:numFmt w:val="decimal"/>
      <w:lvlRestart w:val="0"/>
      <w:lvlText w:val="[%1.%2.%3.%4.%5]"/>
      <w:lvlJc w:val="left"/>
      <w:pPr>
        <w:tabs>
          <w:tab w:val="num" w:pos="2520"/>
        </w:tabs>
        <w:ind w:left="2232" w:hanging="792"/>
      </w:pPr>
    </w:lvl>
    <w:lvl w:ilvl="5">
      <w:start w:val="1"/>
      <w:numFmt w:val="decimal"/>
      <w:lvlRestart w:val="0"/>
      <w:lvlText w:val="[%1.%2.%3.%4.%5.%6]"/>
      <w:lvlJc w:val="left"/>
      <w:pPr>
        <w:tabs>
          <w:tab w:val="num" w:pos="3240"/>
        </w:tabs>
        <w:ind w:left="2736" w:hanging="936"/>
      </w:pPr>
    </w:lvl>
    <w:lvl w:ilvl="6">
      <w:start w:val="1"/>
      <w:numFmt w:val="decimal"/>
      <w:lvlRestart w:val="0"/>
      <w:lvlText w:val="[%1.%2.%3.%4.%5.%6.%7]"/>
      <w:lvlJc w:val="left"/>
      <w:pPr>
        <w:tabs>
          <w:tab w:val="num" w:pos="3600"/>
        </w:tabs>
        <w:ind w:left="3240" w:hanging="1080"/>
      </w:pPr>
    </w:lvl>
    <w:lvl w:ilvl="7">
      <w:start w:val="1"/>
      <w:numFmt w:val="decimal"/>
      <w:lvlRestart w:val="0"/>
      <w:lvlText w:val="[%1.%2.%3.%4.%5.%6.%7.%8]"/>
      <w:lvlJc w:val="left"/>
      <w:pPr>
        <w:tabs>
          <w:tab w:val="num" w:pos="4320"/>
        </w:tabs>
        <w:ind w:left="3744" w:hanging="1224"/>
      </w:pPr>
    </w:lvl>
    <w:lvl w:ilvl="8">
      <w:start w:val="1"/>
      <w:numFmt w:val="decimal"/>
      <w:lvlRestart w:val="0"/>
      <w:lvlText w:val="[%1.%2.%3.%4.%5.%6.%7.%8.%9]"/>
      <w:lvlJc w:val="left"/>
      <w:pPr>
        <w:tabs>
          <w:tab w:val="num" w:pos="4680"/>
        </w:tabs>
        <w:ind w:left="4320" w:hanging="1440"/>
      </w:pPr>
    </w:lvl>
  </w:abstractNum>
  <w:abstractNum w:abstractNumId="7">
    <w:nsid w:val="7BB76507"/>
    <w:multiLevelType w:val="multilevel"/>
    <w:tmpl w:val="F20E889A"/>
    <w:lvl w:ilvl="0">
      <w:start w:val="1"/>
      <w:numFmt w:val="decimal"/>
      <w:pStyle w:val="Paragraphe"/>
      <w:lvlText w:val="[%1]"/>
      <w:lvlJc w:val="left"/>
      <w:pPr>
        <w:tabs>
          <w:tab w:val="num" w:pos="720"/>
        </w:tabs>
        <w:ind w:left="720" w:hanging="72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7"/>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3B"/>
    <w:rsid w:val="000034B0"/>
    <w:rsid w:val="000041A1"/>
    <w:rsid w:val="0001305E"/>
    <w:rsid w:val="00021B30"/>
    <w:rsid w:val="00021E4C"/>
    <w:rsid w:val="00022556"/>
    <w:rsid w:val="000352CA"/>
    <w:rsid w:val="000366EC"/>
    <w:rsid w:val="00043E4D"/>
    <w:rsid w:val="00056393"/>
    <w:rsid w:val="00056FAC"/>
    <w:rsid w:val="0007225E"/>
    <w:rsid w:val="00076D81"/>
    <w:rsid w:val="00080885"/>
    <w:rsid w:val="0008378A"/>
    <w:rsid w:val="0008784D"/>
    <w:rsid w:val="00090018"/>
    <w:rsid w:val="00090306"/>
    <w:rsid w:val="00093ACD"/>
    <w:rsid w:val="00095814"/>
    <w:rsid w:val="00097D81"/>
    <w:rsid w:val="000A4AD0"/>
    <w:rsid w:val="000A5AD1"/>
    <w:rsid w:val="000A77C5"/>
    <w:rsid w:val="000B7F1B"/>
    <w:rsid w:val="000C710F"/>
    <w:rsid w:val="000D3948"/>
    <w:rsid w:val="000E0C28"/>
    <w:rsid w:val="000E1320"/>
    <w:rsid w:val="000E56A6"/>
    <w:rsid w:val="000F3423"/>
    <w:rsid w:val="000F5F81"/>
    <w:rsid w:val="00104550"/>
    <w:rsid w:val="001050B4"/>
    <w:rsid w:val="0012224D"/>
    <w:rsid w:val="001225BC"/>
    <w:rsid w:val="00122A9E"/>
    <w:rsid w:val="00122F94"/>
    <w:rsid w:val="0012326A"/>
    <w:rsid w:val="00137E7E"/>
    <w:rsid w:val="001407FC"/>
    <w:rsid w:val="00144572"/>
    <w:rsid w:val="00147A49"/>
    <w:rsid w:val="00147B8B"/>
    <w:rsid w:val="0015125A"/>
    <w:rsid w:val="00152464"/>
    <w:rsid w:val="0015539F"/>
    <w:rsid w:val="00160597"/>
    <w:rsid w:val="001664C8"/>
    <w:rsid w:val="00167AD0"/>
    <w:rsid w:val="00167E9D"/>
    <w:rsid w:val="00173184"/>
    <w:rsid w:val="00175079"/>
    <w:rsid w:val="00183515"/>
    <w:rsid w:val="001A03BE"/>
    <w:rsid w:val="001A067E"/>
    <w:rsid w:val="001A2900"/>
    <w:rsid w:val="001A2D49"/>
    <w:rsid w:val="001A4081"/>
    <w:rsid w:val="001A65F1"/>
    <w:rsid w:val="001B2B40"/>
    <w:rsid w:val="001B3E9D"/>
    <w:rsid w:val="001B4A40"/>
    <w:rsid w:val="001B5524"/>
    <w:rsid w:val="001C2B0B"/>
    <w:rsid w:val="001C436D"/>
    <w:rsid w:val="001D4F36"/>
    <w:rsid w:val="001E42F0"/>
    <w:rsid w:val="00226493"/>
    <w:rsid w:val="00227040"/>
    <w:rsid w:val="00230CFC"/>
    <w:rsid w:val="00231C1D"/>
    <w:rsid w:val="00241CED"/>
    <w:rsid w:val="00242FB4"/>
    <w:rsid w:val="00245605"/>
    <w:rsid w:val="002563F0"/>
    <w:rsid w:val="00266064"/>
    <w:rsid w:val="00267C8D"/>
    <w:rsid w:val="002701DD"/>
    <w:rsid w:val="00273101"/>
    <w:rsid w:val="00273F49"/>
    <w:rsid w:val="002769B5"/>
    <w:rsid w:val="00276B59"/>
    <w:rsid w:val="00281319"/>
    <w:rsid w:val="00286149"/>
    <w:rsid w:val="0028668D"/>
    <w:rsid w:val="00290289"/>
    <w:rsid w:val="00292188"/>
    <w:rsid w:val="00296645"/>
    <w:rsid w:val="00296A4B"/>
    <w:rsid w:val="00297284"/>
    <w:rsid w:val="002A0077"/>
    <w:rsid w:val="002A374B"/>
    <w:rsid w:val="002A73E9"/>
    <w:rsid w:val="002B2FC3"/>
    <w:rsid w:val="002B35F0"/>
    <w:rsid w:val="002B58AF"/>
    <w:rsid w:val="002C3748"/>
    <w:rsid w:val="002C5E89"/>
    <w:rsid w:val="002D42BC"/>
    <w:rsid w:val="002D71A9"/>
    <w:rsid w:val="002D7846"/>
    <w:rsid w:val="002D7FCB"/>
    <w:rsid w:val="002F7507"/>
    <w:rsid w:val="00302FB4"/>
    <w:rsid w:val="00305273"/>
    <w:rsid w:val="003057FC"/>
    <w:rsid w:val="00307C85"/>
    <w:rsid w:val="00312983"/>
    <w:rsid w:val="003248CB"/>
    <w:rsid w:val="00331EA7"/>
    <w:rsid w:val="003332B8"/>
    <w:rsid w:val="00344465"/>
    <w:rsid w:val="0034740A"/>
    <w:rsid w:val="0035375B"/>
    <w:rsid w:val="00362D74"/>
    <w:rsid w:val="003664E9"/>
    <w:rsid w:val="00366D1E"/>
    <w:rsid w:val="0037112C"/>
    <w:rsid w:val="00373EE5"/>
    <w:rsid w:val="00375D86"/>
    <w:rsid w:val="003817E7"/>
    <w:rsid w:val="00382E55"/>
    <w:rsid w:val="00390B55"/>
    <w:rsid w:val="003961B2"/>
    <w:rsid w:val="003A41AD"/>
    <w:rsid w:val="003B152B"/>
    <w:rsid w:val="003B1734"/>
    <w:rsid w:val="003B1735"/>
    <w:rsid w:val="003B6CBF"/>
    <w:rsid w:val="003C47A7"/>
    <w:rsid w:val="003D0826"/>
    <w:rsid w:val="003D18FC"/>
    <w:rsid w:val="003D297E"/>
    <w:rsid w:val="003D3C93"/>
    <w:rsid w:val="003E00D5"/>
    <w:rsid w:val="003E02BA"/>
    <w:rsid w:val="003F0578"/>
    <w:rsid w:val="003F7F38"/>
    <w:rsid w:val="0040399B"/>
    <w:rsid w:val="00406F0C"/>
    <w:rsid w:val="00411251"/>
    <w:rsid w:val="00412585"/>
    <w:rsid w:val="0041363B"/>
    <w:rsid w:val="00415D5D"/>
    <w:rsid w:val="00424CD1"/>
    <w:rsid w:val="0042650F"/>
    <w:rsid w:val="0042684F"/>
    <w:rsid w:val="00427D5D"/>
    <w:rsid w:val="00431E0B"/>
    <w:rsid w:val="004337FE"/>
    <w:rsid w:val="00433E98"/>
    <w:rsid w:val="00435738"/>
    <w:rsid w:val="00436AB1"/>
    <w:rsid w:val="00437137"/>
    <w:rsid w:val="004403B8"/>
    <w:rsid w:val="00441ADA"/>
    <w:rsid w:val="004422CA"/>
    <w:rsid w:val="0044371C"/>
    <w:rsid w:val="0044627E"/>
    <w:rsid w:val="0045114F"/>
    <w:rsid w:val="004529D3"/>
    <w:rsid w:val="00453F31"/>
    <w:rsid w:val="00456B0C"/>
    <w:rsid w:val="0046538B"/>
    <w:rsid w:val="00471C92"/>
    <w:rsid w:val="004739AC"/>
    <w:rsid w:val="00474489"/>
    <w:rsid w:val="00475FEF"/>
    <w:rsid w:val="0047776F"/>
    <w:rsid w:val="00482D5B"/>
    <w:rsid w:val="004870EA"/>
    <w:rsid w:val="00487F13"/>
    <w:rsid w:val="0049595F"/>
    <w:rsid w:val="00496193"/>
    <w:rsid w:val="00497443"/>
    <w:rsid w:val="004A02AF"/>
    <w:rsid w:val="004A4449"/>
    <w:rsid w:val="004A679B"/>
    <w:rsid w:val="004B515F"/>
    <w:rsid w:val="004C0FB4"/>
    <w:rsid w:val="004C1811"/>
    <w:rsid w:val="004C4555"/>
    <w:rsid w:val="004D16D6"/>
    <w:rsid w:val="004D6CEA"/>
    <w:rsid w:val="004E3564"/>
    <w:rsid w:val="004E51C0"/>
    <w:rsid w:val="004E64BE"/>
    <w:rsid w:val="004F6293"/>
    <w:rsid w:val="00503B8D"/>
    <w:rsid w:val="00503EE3"/>
    <w:rsid w:val="00505811"/>
    <w:rsid w:val="00515DE7"/>
    <w:rsid w:val="00517EB0"/>
    <w:rsid w:val="005205CB"/>
    <w:rsid w:val="005348E4"/>
    <w:rsid w:val="005352F1"/>
    <w:rsid w:val="00540094"/>
    <w:rsid w:val="00545CFF"/>
    <w:rsid w:val="00555800"/>
    <w:rsid w:val="00556DBB"/>
    <w:rsid w:val="00560781"/>
    <w:rsid w:val="0056268F"/>
    <w:rsid w:val="005662E9"/>
    <w:rsid w:val="00572AAF"/>
    <w:rsid w:val="005801AE"/>
    <w:rsid w:val="00582868"/>
    <w:rsid w:val="00582ECC"/>
    <w:rsid w:val="0058399B"/>
    <w:rsid w:val="0058692F"/>
    <w:rsid w:val="00587045"/>
    <w:rsid w:val="00587C22"/>
    <w:rsid w:val="005907BE"/>
    <w:rsid w:val="0059436D"/>
    <w:rsid w:val="005945C0"/>
    <w:rsid w:val="00597016"/>
    <w:rsid w:val="005974B7"/>
    <w:rsid w:val="005A0D51"/>
    <w:rsid w:val="005A181B"/>
    <w:rsid w:val="005A1CB3"/>
    <w:rsid w:val="005A3073"/>
    <w:rsid w:val="005A33A5"/>
    <w:rsid w:val="005A70A0"/>
    <w:rsid w:val="005B0612"/>
    <w:rsid w:val="005B13F0"/>
    <w:rsid w:val="005B30F6"/>
    <w:rsid w:val="005B45BA"/>
    <w:rsid w:val="005B5689"/>
    <w:rsid w:val="005B6680"/>
    <w:rsid w:val="005B6774"/>
    <w:rsid w:val="005C0A89"/>
    <w:rsid w:val="005C3BC4"/>
    <w:rsid w:val="005D26CC"/>
    <w:rsid w:val="005D59B1"/>
    <w:rsid w:val="005D764B"/>
    <w:rsid w:val="005E2367"/>
    <w:rsid w:val="005E5E90"/>
    <w:rsid w:val="005E654C"/>
    <w:rsid w:val="005F05F6"/>
    <w:rsid w:val="00605734"/>
    <w:rsid w:val="00611E30"/>
    <w:rsid w:val="0061488E"/>
    <w:rsid w:val="0061574B"/>
    <w:rsid w:val="00622670"/>
    <w:rsid w:val="00623A1A"/>
    <w:rsid w:val="00626E8D"/>
    <w:rsid w:val="0063156B"/>
    <w:rsid w:val="006326A9"/>
    <w:rsid w:val="00632DA8"/>
    <w:rsid w:val="00634E6E"/>
    <w:rsid w:val="0064342A"/>
    <w:rsid w:val="00643A28"/>
    <w:rsid w:val="006452FA"/>
    <w:rsid w:val="0065093D"/>
    <w:rsid w:val="00652A16"/>
    <w:rsid w:val="00655193"/>
    <w:rsid w:val="00655459"/>
    <w:rsid w:val="00656FB2"/>
    <w:rsid w:val="00657A70"/>
    <w:rsid w:val="00661454"/>
    <w:rsid w:val="006620AA"/>
    <w:rsid w:val="0066642D"/>
    <w:rsid w:val="00675E85"/>
    <w:rsid w:val="0067750F"/>
    <w:rsid w:val="0068401E"/>
    <w:rsid w:val="006841A4"/>
    <w:rsid w:val="0068643F"/>
    <w:rsid w:val="006877A1"/>
    <w:rsid w:val="00692150"/>
    <w:rsid w:val="00692F0C"/>
    <w:rsid w:val="00696E7C"/>
    <w:rsid w:val="006A0C54"/>
    <w:rsid w:val="006A7C53"/>
    <w:rsid w:val="006B140A"/>
    <w:rsid w:val="006B309C"/>
    <w:rsid w:val="006B727F"/>
    <w:rsid w:val="006C6D3A"/>
    <w:rsid w:val="006C7B36"/>
    <w:rsid w:val="006C7B7F"/>
    <w:rsid w:val="006D19E8"/>
    <w:rsid w:val="006E04B5"/>
    <w:rsid w:val="006E330C"/>
    <w:rsid w:val="006E3DD8"/>
    <w:rsid w:val="006E793F"/>
    <w:rsid w:val="006F0154"/>
    <w:rsid w:val="006F7944"/>
    <w:rsid w:val="00704121"/>
    <w:rsid w:val="00705BB5"/>
    <w:rsid w:val="00706527"/>
    <w:rsid w:val="0071326F"/>
    <w:rsid w:val="007153D7"/>
    <w:rsid w:val="00720ED4"/>
    <w:rsid w:val="00742B33"/>
    <w:rsid w:val="0074488F"/>
    <w:rsid w:val="00745AA8"/>
    <w:rsid w:val="007503E0"/>
    <w:rsid w:val="007510EC"/>
    <w:rsid w:val="0075233C"/>
    <w:rsid w:val="0075256A"/>
    <w:rsid w:val="007569DE"/>
    <w:rsid w:val="0075723C"/>
    <w:rsid w:val="00775BDF"/>
    <w:rsid w:val="00782C8F"/>
    <w:rsid w:val="00785F78"/>
    <w:rsid w:val="0078659D"/>
    <w:rsid w:val="007869EC"/>
    <w:rsid w:val="007A1E58"/>
    <w:rsid w:val="007A5C7E"/>
    <w:rsid w:val="007A6E2F"/>
    <w:rsid w:val="007B0DF2"/>
    <w:rsid w:val="007B3BC5"/>
    <w:rsid w:val="007D03DF"/>
    <w:rsid w:val="007D4953"/>
    <w:rsid w:val="007D50F4"/>
    <w:rsid w:val="007D6BCD"/>
    <w:rsid w:val="007D7173"/>
    <w:rsid w:val="007E1216"/>
    <w:rsid w:val="007E4CD4"/>
    <w:rsid w:val="007E530C"/>
    <w:rsid w:val="007F0E8E"/>
    <w:rsid w:val="007F2149"/>
    <w:rsid w:val="007F4E00"/>
    <w:rsid w:val="007F58F0"/>
    <w:rsid w:val="008079DD"/>
    <w:rsid w:val="0081130F"/>
    <w:rsid w:val="00813095"/>
    <w:rsid w:val="008146B2"/>
    <w:rsid w:val="0081669E"/>
    <w:rsid w:val="00824430"/>
    <w:rsid w:val="00825B1F"/>
    <w:rsid w:val="00827D55"/>
    <w:rsid w:val="0083015F"/>
    <w:rsid w:val="00840EDD"/>
    <w:rsid w:val="0084255F"/>
    <w:rsid w:val="00854FB3"/>
    <w:rsid w:val="00860F13"/>
    <w:rsid w:val="00861F8B"/>
    <w:rsid w:val="0086561F"/>
    <w:rsid w:val="00865A7A"/>
    <w:rsid w:val="00865FE1"/>
    <w:rsid w:val="0087069B"/>
    <w:rsid w:val="008748C7"/>
    <w:rsid w:val="0087521A"/>
    <w:rsid w:val="008808C0"/>
    <w:rsid w:val="00890BDE"/>
    <w:rsid w:val="00892AD3"/>
    <w:rsid w:val="008962E7"/>
    <w:rsid w:val="008A1118"/>
    <w:rsid w:val="008A281F"/>
    <w:rsid w:val="008A48D2"/>
    <w:rsid w:val="008A4AF6"/>
    <w:rsid w:val="008A4FF8"/>
    <w:rsid w:val="008A5ED1"/>
    <w:rsid w:val="008A73CE"/>
    <w:rsid w:val="008A7FD1"/>
    <w:rsid w:val="008B042E"/>
    <w:rsid w:val="008B211E"/>
    <w:rsid w:val="008B6D48"/>
    <w:rsid w:val="008C7660"/>
    <w:rsid w:val="008C79A7"/>
    <w:rsid w:val="008D5521"/>
    <w:rsid w:val="008D555F"/>
    <w:rsid w:val="008D625D"/>
    <w:rsid w:val="008D650E"/>
    <w:rsid w:val="008E6A41"/>
    <w:rsid w:val="008F15D5"/>
    <w:rsid w:val="00903990"/>
    <w:rsid w:val="009042A8"/>
    <w:rsid w:val="00904950"/>
    <w:rsid w:val="009135CA"/>
    <w:rsid w:val="00915E5E"/>
    <w:rsid w:val="009166B8"/>
    <w:rsid w:val="00917915"/>
    <w:rsid w:val="00920684"/>
    <w:rsid w:val="009216E6"/>
    <w:rsid w:val="00922DB7"/>
    <w:rsid w:val="0092684A"/>
    <w:rsid w:val="00937FAB"/>
    <w:rsid w:val="0094094D"/>
    <w:rsid w:val="00942AB8"/>
    <w:rsid w:val="00943FCE"/>
    <w:rsid w:val="0094548C"/>
    <w:rsid w:val="00945CAF"/>
    <w:rsid w:val="00947448"/>
    <w:rsid w:val="00952B38"/>
    <w:rsid w:val="00952C99"/>
    <w:rsid w:val="00965333"/>
    <w:rsid w:val="009712EF"/>
    <w:rsid w:val="009727BF"/>
    <w:rsid w:val="00973321"/>
    <w:rsid w:val="00975C2E"/>
    <w:rsid w:val="00977270"/>
    <w:rsid w:val="009824F2"/>
    <w:rsid w:val="00983080"/>
    <w:rsid w:val="00986AA3"/>
    <w:rsid w:val="00993B24"/>
    <w:rsid w:val="0099611F"/>
    <w:rsid w:val="009A083F"/>
    <w:rsid w:val="009A135C"/>
    <w:rsid w:val="009A67E7"/>
    <w:rsid w:val="009C603A"/>
    <w:rsid w:val="009C74CD"/>
    <w:rsid w:val="009D048F"/>
    <w:rsid w:val="009D162F"/>
    <w:rsid w:val="009D401F"/>
    <w:rsid w:val="009D4337"/>
    <w:rsid w:val="009D68FA"/>
    <w:rsid w:val="009E32CF"/>
    <w:rsid w:val="009E4FC2"/>
    <w:rsid w:val="009F44AE"/>
    <w:rsid w:val="00A02529"/>
    <w:rsid w:val="00A02EF2"/>
    <w:rsid w:val="00A04D5E"/>
    <w:rsid w:val="00A10DDF"/>
    <w:rsid w:val="00A11172"/>
    <w:rsid w:val="00A1219E"/>
    <w:rsid w:val="00A12E55"/>
    <w:rsid w:val="00A2411A"/>
    <w:rsid w:val="00A242E4"/>
    <w:rsid w:val="00A24437"/>
    <w:rsid w:val="00A24CA0"/>
    <w:rsid w:val="00A33601"/>
    <w:rsid w:val="00A3362A"/>
    <w:rsid w:val="00A37B70"/>
    <w:rsid w:val="00A40AC7"/>
    <w:rsid w:val="00A435C7"/>
    <w:rsid w:val="00A569B2"/>
    <w:rsid w:val="00A611A4"/>
    <w:rsid w:val="00A61F09"/>
    <w:rsid w:val="00A6695B"/>
    <w:rsid w:val="00A72703"/>
    <w:rsid w:val="00A727F6"/>
    <w:rsid w:val="00A72E71"/>
    <w:rsid w:val="00A76432"/>
    <w:rsid w:val="00A84FC6"/>
    <w:rsid w:val="00A8528E"/>
    <w:rsid w:val="00A90BD9"/>
    <w:rsid w:val="00A94A49"/>
    <w:rsid w:val="00AA1815"/>
    <w:rsid w:val="00AA1D3E"/>
    <w:rsid w:val="00AA39F9"/>
    <w:rsid w:val="00AA79D3"/>
    <w:rsid w:val="00AB0931"/>
    <w:rsid w:val="00AB5C9B"/>
    <w:rsid w:val="00AC0276"/>
    <w:rsid w:val="00AC0312"/>
    <w:rsid w:val="00AC0449"/>
    <w:rsid w:val="00AC5E3B"/>
    <w:rsid w:val="00AD2497"/>
    <w:rsid w:val="00AD5EB4"/>
    <w:rsid w:val="00AE63E2"/>
    <w:rsid w:val="00AF04C9"/>
    <w:rsid w:val="00AF1DC4"/>
    <w:rsid w:val="00AF26B6"/>
    <w:rsid w:val="00AF2979"/>
    <w:rsid w:val="00AF3189"/>
    <w:rsid w:val="00AF38A4"/>
    <w:rsid w:val="00B0375C"/>
    <w:rsid w:val="00B052CB"/>
    <w:rsid w:val="00B156C3"/>
    <w:rsid w:val="00B15F67"/>
    <w:rsid w:val="00B1624F"/>
    <w:rsid w:val="00B224C5"/>
    <w:rsid w:val="00B325CD"/>
    <w:rsid w:val="00B4561E"/>
    <w:rsid w:val="00B4768D"/>
    <w:rsid w:val="00B518E5"/>
    <w:rsid w:val="00B51E1F"/>
    <w:rsid w:val="00B60222"/>
    <w:rsid w:val="00B62CFB"/>
    <w:rsid w:val="00B662F5"/>
    <w:rsid w:val="00B7000C"/>
    <w:rsid w:val="00B73C07"/>
    <w:rsid w:val="00B760D5"/>
    <w:rsid w:val="00B83B2C"/>
    <w:rsid w:val="00B92049"/>
    <w:rsid w:val="00B94740"/>
    <w:rsid w:val="00B95002"/>
    <w:rsid w:val="00B97F75"/>
    <w:rsid w:val="00BA0A4F"/>
    <w:rsid w:val="00BA1CAE"/>
    <w:rsid w:val="00BA33BB"/>
    <w:rsid w:val="00BA4830"/>
    <w:rsid w:val="00BA6E22"/>
    <w:rsid w:val="00BB362C"/>
    <w:rsid w:val="00BC0A03"/>
    <w:rsid w:val="00BC5BB4"/>
    <w:rsid w:val="00BD4139"/>
    <w:rsid w:val="00BE059A"/>
    <w:rsid w:val="00BE1981"/>
    <w:rsid w:val="00BE2DA6"/>
    <w:rsid w:val="00BE56E9"/>
    <w:rsid w:val="00BE63CF"/>
    <w:rsid w:val="00BE7014"/>
    <w:rsid w:val="00BE7991"/>
    <w:rsid w:val="00BF25C7"/>
    <w:rsid w:val="00C009B7"/>
    <w:rsid w:val="00C04E32"/>
    <w:rsid w:val="00C116B1"/>
    <w:rsid w:val="00C15A3F"/>
    <w:rsid w:val="00C20630"/>
    <w:rsid w:val="00C224A4"/>
    <w:rsid w:val="00C22F7A"/>
    <w:rsid w:val="00C2666F"/>
    <w:rsid w:val="00C31E9F"/>
    <w:rsid w:val="00C32020"/>
    <w:rsid w:val="00C32D02"/>
    <w:rsid w:val="00C3408C"/>
    <w:rsid w:val="00C351CC"/>
    <w:rsid w:val="00C35435"/>
    <w:rsid w:val="00C432FD"/>
    <w:rsid w:val="00C43CDF"/>
    <w:rsid w:val="00C512B2"/>
    <w:rsid w:val="00C62B69"/>
    <w:rsid w:val="00C644B7"/>
    <w:rsid w:val="00C64564"/>
    <w:rsid w:val="00C73C87"/>
    <w:rsid w:val="00C74B6F"/>
    <w:rsid w:val="00C87EF3"/>
    <w:rsid w:val="00C9015F"/>
    <w:rsid w:val="00C912F9"/>
    <w:rsid w:val="00C9241B"/>
    <w:rsid w:val="00C96DDF"/>
    <w:rsid w:val="00C97569"/>
    <w:rsid w:val="00CA199D"/>
    <w:rsid w:val="00CA4D9C"/>
    <w:rsid w:val="00CB05A7"/>
    <w:rsid w:val="00CB06A4"/>
    <w:rsid w:val="00CB325B"/>
    <w:rsid w:val="00CB64FF"/>
    <w:rsid w:val="00CB7078"/>
    <w:rsid w:val="00CC014B"/>
    <w:rsid w:val="00CC21D8"/>
    <w:rsid w:val="00CC3369"/>
    <w:rsid w:val="00CC5343"/>
    <w:rsid w:val="00CC6338"/>
    <w:rsid w:val="00CC78DE"/>
    <w:rsid w:val="00CD04D9"/>
    <w:rsid w:val="00CD0F93"/>
    <w:rsid w:val="00CD6D6E"/>
    <w:rsid w:val="00CD6F23"/>
    <w:rsid w:val="00CE4D5E"/>
    <w:rsid w:val="00CF640B"/>
    <w:rsid w:val="00CF6B5A"/>
    <w:rsid w:val="00D027AF"/>
    <w:rsid w:val="00D0323E"/>
    <w:rsid w:val="00D06652"/>
    <w:rsid w:val="00D07FA6"/>
    <w:rsid w:val="00D10328"/>
    <w:rsid w:val="00D16ADF"/>
    <w:rsid w:val="00D17C53"/>
    <w:rsid w:val="00D17D57"/>
    <w:rsid w:val="00D2341D"/>
    <w:rsid w:val="00D25E0E"/>
    <w:rsid w:val="00D302EB"/>
    <w:rsid w:val="00D31679"/>
    <w:rsid w:val="00D320C8"/>
    <w:rsid w:val="00D3672F"/>
    <w:rsid w:val="00D40ABA"/>
    <w:rsid w:val="00D40FE2"/>
    <w:rsid w:val="00D440FA"/>
    <w:rsid w:val="00D44BCF"/>
    <w:rsid w:val="00D46E73"/>
    <w:rsid w:val="00D525FB"/>
    <w:rsid w:val="00D5548D"/>
    <w:rsid w:val="00D60F81"/>
    <w:rsid w:val="00D63951"/>
    <w:rsid w:val="00D63BF2"/>
    <w:rsid w:val="00D67348"/>
    <w:rsid w:val="00D73BB4"/>
    <w:rsid w:val="00D75FEC"/>
    <w:rsid w:val="00D76B98"/>
    <w:rsid w:val="00D835A0"/>
    <w:rsid w:val="00D86F2C"/>
    <w:rsid w:val="00DA36F6"/>
    <w:rsid w:val="00DB0C8D"/>
    <w:rsid w:val="00DC1611"/>
    <w:rsid w:val="00DD3C53"/>
    <w:rsid w:val="00DF0774"/>
    <w:rsid w:val="00DF1036"/>
    <w:rsid w:val="00E05451"/>
    <w:rsid w:val="00E05651"/>
    <w:rsid w:val="00E11BA5"/>
    <w:rsid w:val="00E20425"/>
    <w:rsid w:val="00E25DCB"/>
    <w:rsid w:val="00E4156E"/>
    <w:rsid w:val="00E453F2"/>
    <w:rsid w:val="00E460AD"/>
    <w:rsid w:val="00E61925"/>
    <w:rsid w:val="00E65C0E"/>
    <w:rsid w:val="00E730FC"/>
    <w:rsid w:val="00E746F0"/>
    <w:rsid w:val="00E809B9"/>
    <w:rsid w:val="00E82A15"/>
    <w:rsid w:val="00E85445"/>
    <w:rsid w:val="00E87589"/>
    <w:rsid w:val="00E938FF"/>
    <w:rsid w:val="00E93DFE"/>
    <w:rsid w:val="00EA34DC"/>
    <w:rsid w:val="00EA5017"/>
    <w:rsid w:val="00EA6BED"/>
    <w:rsid w:val="00EB14F0"/>
    <w:rsid w:val="00EB3844"/>
    <w:rsid w:val="00EB5A9F"/>
    <w:rsid w:val="00EC573F"/>
    <w:rsid w:val="00EC5C8D"/>
    <w:rsid w:val="00ED106C"/>
    <w:rsid w:val="00ED2D34"/>
    <w:rsid w:val="00ED4805"/>
    <w:rsid w:val="00ED57F6"/>
    <w:rsid w:val="00ED6C51"/>
    <w:rsid w:val="00EF4258"/>
    <w:rsid w:val="00EF6D31"/>
    <w:rsid w:val="00F02237"/>
    <w:rsid w:val="00F079A6"/>
    <w:rsid w:val="00F15811"/>
    <w:rsid w:val="00F22423"/>
    <w:rsid w:val="00F24C72"/>
    <w:rsid w:val="00F31D22"/>
    <w:rsid w:val="00F348B2"/>
    <w:rsid w:val="00F34BF0"/>
    <w:rsid w:val="00F34ED8"/>
    <w:rsid w:val="00F4095A"/>
    <w:rsid w:val="00F45845"/>
    <w:rsid w:val="00F50189"/>
    <w:rsid w:val="00F508FC"/>
    <w:rsid w:val="00F53571"/>
    <w:rsid w:val="00F54044"/>
    <w:rsid w:val="00F576E7"/>
    <w:rsid w:val="00F763FC"/>
    <w:rsid w:val="00F772C1"/>
    <w:rsid w:val="00F8026D"/>
    <w:rsid w:val="00F8245F"/>
    <w:rsid w:val="00F91629"/>
    <w:rsid w:val="00F91E2A"/>
    <w:rsid w:val="00F96C39"/>
    <w:rsid w:val="00F96E41"/>
    <w:rsid w:val="00FA153F"/>
    <w:rsid w:val="00FA1D78"/>
    <w:rsid w:val="00FA1F7E"/>
    <w:rsid w:val="00FA280F"/>
    <w:rsid w:val="00FB2186"/>
    <w:rsid w:val="00FD0133"/>
    <w:rsid w:val="00FD6206"/>
    <w:rsid w:val="00FE1318"/>
    <w:rsid w:val="00FF0E96"/>
    <w:rsid w:val="00FF32C3"/>
    <w:rsid w:val="00FF61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2A6EC"/>
  <w15:chartTrackingRefBased/>
  <w15:docId w15:val="{D6E6425A-C0AB-4AB7-BB61-33793DEE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itre1">
    <w:name w:val="heading 1"/>
    <w:basedOn w:val="Normal"/>
    <w:next w:val="corpsdedcision"/>
    <w:link w:val="Titre1Car"/>
    <w:qFormat/>
    <w:rsid w:val="00F96E41"/>
    <w:pPr>
      <w:keepNext/>
      <w:spacing w:before="240" w:after="240"/>
      <w:outlineLvl w:val="0"/>
    </w:pPr>
    <w:rPr>
      <w:rFonts w:cs="Arial"/>
      <w:b/>
      <w:bCs/>
      <w:caps/>
      <w:kern w:val="32"/>
      <w:szCs w:val="32"/>
      <w:u w:val="single"/>
      <w:lang w:eastAsia="fr-FR"/>
    </w:rPr>
  </w:style>
  <w:style w:type="paragraph" w:styleId="Titre2">
    <w:name w:val="heading 2"/>
    <w:basedOn w:val="Normal"/>
    <w:next w:val="corpsdedcision"/>
    <w:qFormat/>
    <w:rsid w:val="0034740A"/>
    <w:pPr>
      <w:keepNext/>
      <w:spacing w:before="240" w:after="240"/>
      <w:outlineLvl w:val="1"/>
    </w:pPr>
    <w:rPr>
      <w:rFonts w:cs="Arial"/>
      <w:bCs/>
      <w:iCs/>
      <w:caps/>
      <w:szCs w:val="28"/>
      <w:lang w:eastAsia="fr-FR"/>
    </w:rPr>
  </w:style>
  <w:style w:type="paragraph" w:styleId="Titre3">
    <w:name w:val="heading 3"/>
    <w:basedOn w:val="Normal"/>
    <w:next w:val="corpsdedcision"/>
    <w:qFormat/>
    <w:rsid w:val="008F15D5"/>
    <w:pPr>
      <w:keepNext/>
      <w:spacing w:before="240" w:after="240"/>
      <w:outlineLvl w:val="2"/>
    </w:pPr>
    <w:rPr>
      <w:rFonts w:cs="Arial"/>
      <w:b/>
      <w:bCs/>
      <w:szCs w:val="24"/>
      <w:lang w:eastAsia="fr-FR"/>
    </w:rPr>
  </w:style>
  <w:style w:type="paragraph" w:styleId="Titre4">
    <w:name w:val="heading 4"/>
    <w:basedOn w:val="Normal"/>
    <w:next w:val="corpsdedcision"/>
    <w:qFormat/>
    <w:rsid w:val="008F15D5"/>
    <w:pPr>
      <w:keepNext/>
      <w:spacing w:before="240" w:after="240"/>
      <w:outlineLvl w:val="3"/>
    </w:pPr>
    <w:rPr>
      <w:rFonts w:cs="Arial"/>
      <w:szCs w:val="24"/>
      <w:u w:val="single"/>
      <w:lang w:eastAsia="fr-FR"/>
    </w:rPr>
  </w:style>
  <w:style w:type="paragraph" w:styleId="Titre5">
    <w:name w:val="heading 5"/>
    <w:basedOn w:val="Normal"/>
    <w:next w:val="Normal"/>
    <w:qFormat/>
    <w:rsid w:val="005E2367"/>
    <w:pPr>
      <w:numPr>
        <w:ilvl w:val="4"/>
        <w:numId w:val="2"/>
      </w:numPr>
      <w:spacing w:before="240" w:after="60"/>
      <w:outlineLvl w:val="4"/>
    </w:pPr>
    <w:rPr>
      <w:b/>
      <w:bCs/>
      <w:i/>
      <w:iCs/>
      <w:sz w:val="26"/>
      <w:szCs w:val="26"/>
    </w:rPr>
  </w:style>
  <w:style w:type="paragraph" w:styleId="Titre6">
    <w:name w:val="heading 6"/>
    <w:basedOn w:val="Normal"/>
    <w:next w:val="Normal"/>
    <w:qFormat/>
    <w:rsid w:val="005E2367"/>
    <w:pPr>
      <w:numPr>
        <w:ilvl w:val="5"/>
        <w:numId w:val="2"/>
      </w:numPr>
      <w:spacing w:before="240" w:after="60"/>
      <w:outlineLvl w:val="5"/>
    </w:pPr>
    <w:rPr>
      <w:rFonts w:ascii="Times New Roman" w:hAnsi="Times New Roman"/>
      <w:b/>
      <w:bCs/>
      <w:sz w:val="22"/>
      <w:szCs w:val="22"/>
    </w:rPr>
  </w:style>
  <w:style w:type="paragraph" w:styleId="Titre7">
    <w:name w:val="heading 7"/>
    <w:basedOn w:val="Normal"/>
    <w:next w:val="Normal"/>
    <w:qFormat/>
    <w:rsid w:val="005E2367"/>
    <w:pPr>
      <w:numPr>
        <w:ilvl w:val="6"/>
        <w:numId w:val="2"/>
      </w:numPr>
      <w:spacing w:before="240" w:after="60"/>
      <w:outlineLvl w:val="6"/>
    </w:pPr>
    <w:rPr>
      <w:rFonts w:ascii="Times New Roman" w:hAnsi="Times New Roman"/>
      <w:szCs w:val="24"/>
    </w:rPr>
  </w:style>
  <w:style w:type="paragraph" w:styleId="Titre8">
    <w:name w:val="heading 8"/>
    <w:basedOn w:val="Normal"/>
    <w:next w:val="Normal"/>
    <w:qFormat/>
    <w:rsid w:val="005E2367"/>
    <w:pPr>
      <w:numPr>
        <w:ilvl w:val="7"/>
        <w:numId w:val="2"/>
      </w:numPr>
      <w:spacing w:before="240" w:after="60"/>
      <w:outlineLvl w:val="7"/>
    </w:pPr>
    <w:rPr>
      <w:rFonts w:ascii="Times New Roman" w:hAnsi="Times New Roman"/>
      <w:i/>
      <w:iCs/>
      <w:szCs w:val="24"/>
    </w:rPr>
  </w:style>
  <w:style w:type="paragraph" w:styleId="Titre9">
    <w:name w:val="heading 9"/>
    <w:basedOn w:val="Normal"/>
    <w:next w:val="Normal"/>
    <w:qFormat/>
    <w:rsid w:val="005E2367"/>
    <w:pPr>
      <w:numPr>
        <w:ilvl w:val="8"/>
        <w:numId w:val="2"/>
      </w:num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zSoquijdatAssesseurs">
    <w:name w:val="zSoquij_datAssesseurs"/>
    <w:basedOn w:val="Normal"/>
  </w:style>
  <w:style w:type="paragraph" w:customStyle="1" w:styleId="zSoquijdatCabinetProcureurDef">
    <w:name w:val="zSoquij_datCabinetProcureurDef"/>
    <w:basedOn w:val="Normal"/>
  </w:style>
  <w:style w:type="paragraph" w:customStyle="1" w:styleId="zSoquijdatCabinetProcureurDem">
    <w:name w:val="zSoquij_datCabinetProcureurDem"/>
    <w:basedOn w:val="Normal"/>
  </w:style>
  <w:style w:type="paragraph" w:customStyle="1" w:styleId="zSoquijdatDateJugement">
    <w:name w:val="zSoquij_datDateJugement"/>
    <w:basedOn w:val="Normal"/>
    <w:rsid w:val="005B5689"/>
  </w:style>
  <w:style w:type="paragraph" w:customStyle="1" w:styleId="zSoquijdatGreffe">
    <w:name w:val="zSoquij_datGreffe"/>
    <w:basedOn w:val="Normal"/>
  </w:style>
  <w:style w:type="paragraph" w:customStyle="1" w:styleId="zSoquijdatJuge">
    <w:name w:val="zSoquij_datJuge"/>
    <w:basedOn w:val="Normal"/>
    <w:rsid w:val="005B5689"/>
    <w:rPr>
      <w:b/>
    </w:rPr>
  </w:style>
  <w:style w:type="paragraph" w:customStyle="1" w:styleId="zSoquijdatMembreE">
    <w:name w:val="zSoquij_datMembreE"/>
    <w:basedOn w:val="Normal"/>
  </w:style>
  <w:style w:type="paragraph" w:customStyle="1" w:styleId="zSoquijdatMembreS">
    <w:name w:val="zSoquij_datMembreS"/>
    <w:basedOn w:val="Normal"/>
  </w:style>
  <w:style w:type="paragraph" w:customStyle="1" w:styleId="articlesdelaLSST">
    <w:name w:val="articles de la LSST"/>
    <w:basedOn w:val="Normal"/>
    <w:pPr>
      <w:ind w:left="720" w:right="720"/>
      <w:jc w:val="both"/>
    </w:pPr>
    <w:rPr>
      <w:sz w:val="20"/>
    </w:rPr>
  </w:style>
  <w:style w:type="paragraph" w:customStyle="1" w:styleId="zSoquijdatNCSST">
    <w:name w:val="zSoquij_datNCSST"/>
    <w:basedOn w:val="Normal"/>
  </w:style>
  <w:style w:type="paragraph" w:customStyle="1" w:styleId="zSoquijdatNoDossier">
    <w:name w:val="zSoquij_datNoDossier"/>
    <w:basedOn w:val="Normal"/>
  </w:style>
  <w:style w:type="paragraph" w:customStyle="1" w:styleId="zSoquijdatNomPartieDef">
    <w:name w:val="zSoquij_datNomPartieDef"/>
    <w:basedOn w:val="Normal"/>
  </w:style>
  <w:style w:type="paragraph" w:customStyle="1" w:styleId="zSoquijdatNomPartieDem">
    <w:name w:val="zSoquij_datNomPartieDem"/>
    <w:basedOn w:val="Normal"/>
  </w:style>
  <w:style w:type="paragraph" w:customStyle="1" w:styleId="zSoquijdatNomPartieInt">
    <w:name w:val="zSoquij_datNomPartieInt"/>
    <w:basedOn w:val="Normal"/>
  </w:style>
  <w:style w:type="paragraph" w:customStyle="1" w:styleId="zSoquijdatNomProcureurDef">
    <w:name w:val="zSoquij_datNomProcureurDef"/>
    <w:basedOn w:val="Normal"/>
  </w:style>
  <w:style w:type="paragraph" w:customStyle="1" w:styleId="zSoquijdatNomProcureurDem">
    <w:name w:val="zSoquij_datNomProcureurDem"/>
    <w:basedOn w:val="Normal"/>
  </w:style>
  <w:style w:type="paragraph" w:customStyle="1" w:styleId="zSoquijdatQtePartieDef">
    <w:name w:val="zSoquij_datQtePartieDef"/>
    <w:basedOn w:val="Normal"/>
  </w:style>
  <w:style w:type="paragraph" w:customStyle="1" w:styleId="zSoquijdatQtePartieDem">
    <w:name w:val="zSoquij_datQtePartieDem"/>
    <w:basedOn w:val="Normal"/>
  </w:style>
  <w:style w:type="paragraph" w:customStyle="1" w:styleId="zSoquijdatQtePartieInt">
    <w:name w:val="zSoquij_datQtePartieInt"/>
    <w:basedOn w:val="Normal"/>
  </w:style>
  <w:style w:type="paragraph" w:customStyle="1" w:styleId="zSoquijlblProcureurDef">
    <w:name w:val="zSoquij_lblProcureurDef"/>
    <w:basedOn w:val="Normal"/>
  </w:style>
  <w:style w:type="paragraph" w:customStyle="1" w:styleId="zSoquijlblProcureurDem">
    <w:name w:val="zSoquij_lblProcureurDem"/>
    <w:basedOn w:val="Normal"/>
  </w:style>
  <w:style w:type="character" w:styleId="Appelnotedebasdep">
    <w:name w:val="footnote reference"/>
    <w:basedOn w:val="Policepardfaut"/>
    <w:semiHidden/>
    <w:rPr>
      <w:rFonts w:ascii="Arial" w:hAnsi="Arial"/>
      <w:vertAlign w:val="superscript"/>
    </w:rPr>
  </w:style>
  <w:style w:type="paragraph" w:customStyle="1" w:styleId="citation">
    <w:name w:val="citation"/>
    <w:basedOn w:val="Normal"/>
    <w:pPr>
      <w:ind w:left="720" w:right="720"/>
      <w:jc w:val="both"/>
    </w:pPr>
    <w:rPr>
      <w:sz w:val="20"/>
    </w:rPr>
  </w:style>
  <w:style w:type="paragraph" w:customStyle="1" w:styleId="corpsdedcision">
    <w:name w:val="corps de décision"/>
    <w:basedOn w:val="Normal"/>
    <w:pPr>
      <w:numPr>
        <w:numId w:val="1"/>
      </w:numPr>
      <w:tabs>
        <w:tab w:val="clear" w:pos="360"/>
        <w:tab w:val="left" w:pos="720"/>
      </w:tabs>
      <w:spacing w:after="360"/>
      <w:jc w:val="both"/>
    </w:pPr>
  </w:style>
  <w:style w:type="paragraph" w:customStyle="1" w:styleId="Dfinitions">
    <w:name w:val="Définitions"/>
    <w:basedOn w:val="citation"/>
  </w:style>
  <w:style w:type="paragraph" w:customStyle="1" w:styleId="Dispositif">
    <w:name w:val="Dispositif"/>
    <w:basedOn w:val="Normal"/>
    <w:pPr>
      <w:spacing w:after="360"/>
      <w:jc w:val="both"/>
    </w:pPr>
  </w:style>
  <w:style w:type="paragraph" w:styleId="Notedebasdepage">
    <w:name w:val="footnote text"/>
    <w:basedOn w:val="Normal"/>
    <w:link w:val="NotedebasdepageCar"/>
    <w:semiHidden/>
  </w:style>
  <w:style w:type="paragraph" w:styleId="En-tte">
    <w:name w:val="header"/>
    <w:basedOn w:val="Normal"/>
    <w:pPr>
      <w:tabs>
        <w:tab w:val="center" w:pos="4320"/>
        <w:tab w:val="right" w:pos="8640"/>
      </w:tabs>
    </w:pPr>
  </w:style>
  <w:style w:type="character" w:styleId="Numrodepage">
    <w:name w:val="page number"/>
    <w:basedOn w:val="Policepardfaut"/>
    <w:rPr>
      <w:rFonts w:ascii="Arial" w:hAnsi="Arial"/>
      <w:sz w:val="24"/>
    </w:rPr>
  </w:style>
  <w:style w:type="paragraph" w:styleId="Pieddepage">
    <w:name w:val="footer"/>
    <w:basedOn w:val="Normal"/>
    <w:pPr>
      <w:tabs>
        <w:tab w:val="center" w:pos="4320"/>
        <w:tab w:val="right" w:pos="8640"/>
      </w:tabs>
    </w:pPr>
  </w:style>
  <w:style w:type="paragraph" w:customStyle="1" w:styleId="zSoquijlblProcureurInt">
    <w:name w:val="zSoquij_lblProcureurInt"/>
    <w:basedOn w:val="Normal"/>
  </w:style>
  <w:style w:type="paragraph" w:customStyle="1" w:styleId="articlesdelaLATMP">
    <w:name w:val="articles de la LATMP"/>
    <w:basedOn w:val="Normal"/>
    <w:pPr>
      <w:ind w:left="720" w:right="720"/>
      <w:jc w:val="both"/>
    </w:pPr>
    <w:rPr>
      <w:sz w:val="20"/>
    </w:rPr>
  </w:style>
  <w:style w:type="paragraph" w:customStyle="1" w:styleId="Annexes">
    <w:name w:val="Annexes"/>
    <w:basedOn w:val="citation"/>
  </w:style>
  <w:style w:type="paragraph" w:customStyle="1" w:styleId="zSoquijdatNomProcureurInt">
    <w:name w:val="zSoquij_datNomProcureurInt"/>
    <w:basedOn w:val="Normal"/>
  </w:style>
  <w:style w:type="paragraph" w:customStyle="1" w:styleId="zSoquijdatCabinetProcureurInt">
    <w:name w:val="zSoquij_datCabinetProcureurInt"/>
    <w:basedOn w:val="Normal"/>
  </w:style>
  <w:style w:type="paragraph" w:customStyle="1" w:styleId="zSoquijdatRefNeutre">
    <w:name w:val="zSoquij_datRefNeutre"/>
    <w:basedOn w:val="Normal"/>
    <w:rsid w:val="00E20425"/>
    <w:pPr>
      <w:jc w:val="right"/>
    </w:pPr>
    <w:rPr>
      <w:b/>
      <w:sz w:val="22"/>
      <w:szCs w:val="22"/>
    </w:rPr>
  </w:style>
  <w:style w:type="paragraph" w:customStyle="1" w:styleId="zSoquijdatRepertorie">
    <w:name w:val="zSoquij_datRepertorie"/>
    <w:basedOn w:val="Normal"/>
    <w:rsid w:val="00E20425"/>
    <w:rPr>
      <w:b/>
      <w:sz w:val="22"/>
      <w:szCs w:val="22"/>
    </w:rPr>
  </w:style>
  <w:style w:type="paragraph" w:customStyle="1" w:styleId="corpsdetexte">
    <w:name w:val="corps de texte"/>
    <w:basedOn w:val="Normal"/>
    <w:rsid w:val="00ED2D34"/>
    <w:pPr>
      <w:tabs>
        <w:tab w:val="left" w:pos="720"/>
      </w:tabs>
      <w:spacing w:after="360"/>
      <w:jc w:val="both"/>
    </w:pPr>
  </w:style>
  <w:style w:type="paragraph" w:customStyle="1" w:styleId="articlesdelaLATMPnouveaux">
    <w:name w:val="articles de la LATMP (nouveaux)"/>
    <w:basedOn w:val="Normal"/>
    <w:rsid w:val="00D44BCF"/>
    <w:pPr>
      <w:ind w:left="720" w:right="720"/>
      <w:jc w:val="both"/>
    </w:pPr>
    <w:rPr>
      <w:sz w:val="20"/>
    </w:rPr>
  </w:style>
  <w:style w:type="character" w:customStyle="1" w:styleId="NotedebasdepageCar">
    <w:name w:val="Note de bas de page Car"/>
    <w:basedOn w:val="Policepardfaut"/>
    <w:link w:val="Notedebasdepage"/>
    <w:semiHidden/>
    <w:locked/>
    <w:rsid w:val="00BC0A03"/>
    <w:rPr>
      <w:rFonts w:ascii="Arial" w:hAnsi="Arial"/>
      <w:sz w:val="24"/>
      <w:lang w:val="fr-CA" w:eastAsia="fr-CA" w:bidi="ar-SA"/>
    </w:rPr>
  </w:style>
  <w:style w:type="character" w:customStyle="1" w:styleId="CarCar3">
    <w:name w:val="Car Car3"/>
    <w:semiHidden/>
    <w:locked/>
    <w:rsid w:val="007F2149"/>
    <w:rPr>
      <w:rFonts w:ascii="Arial" w:hAnsi="Arial"/>
      <w:sz w:val="24"/>
      <w:lang w:val="fr-CA" w:eastAsia="fr-CA" w:bidi="ar-SA"/>
    </w:rPr>
  </w:style>
  <w:style w:type="paragraph" w:customStyle="1" w:styleId="Citationenretrait">
    <w:name w:val="Citation en retrait"/>
    <w:basedOn w:val="Normal"/>
    <w:rsid w:val="006A7C53"/>
    <w:pPr>
      <w:spacing w:before="120" w:after="120"/>
      <w:ind w:left="720" w:right="720"/>
      <w:jc w:val="both"/>
    </w:pPr>
    <w:rPr>
      <w:kern w:val="24"/>
      <w:sz w:val="22"/>
      <w:lang w:eastAsia="fr-FR"/>
    </w:rPr>
  </w:style>
  <w:style w:type="paragraph" w:customStyle="1" w:styleId="Citationendoubleretrait">
    <w:name w:val="Citation en double retrait"/>
    <w:basedOn w:val="Citationenretrait"/>
    <w:rsid w:val="00147A49"/>
    <w:pPr>
      <w:spacing w:before="0" w:after="0"/>
      <w:ind w:left="1440" w:right="1440"/>
    </w:pPr>
    <w:rPr>
      <w:sz w:val="20"/>
    </w:rPr>
  </w:style>
  <w:style w:type="character" w:customStyle="1" w:styleId="Citationintgre">
    <w:name w:val="Citation intégrée"/>
    <w:basedOn w:val="Policepardfaut"/>
    <w:rsid w:val="006A7C53"/>
    <w:rPr>
      <w:rFonts w:ascii="Arial" w:hAnsi="Arial"/>
      <w:i/>
      <w:noProof w:val="0"/>
      <w:sz w:val="22"/>
      <w:lang w:val="fr-CA"/>
    </w:rPr>
  </w:style>
  <w:style w:type="paragraph" w:customStyle="1" w:styleId="Paragraphe">
    <w:name w:val="Paragraphe"/>
    <w:basedOn w:val="Normal"/>
    <w:rsid w:val="006A7C53"/>
    <w:pPr>
      <w:numPr>
        <w:numId w:val="6"/>
      </w:numPr>
      <w:spacing w:before="160" w:after="160"/>
      <w:jc w:val="both"/>
    </w:pPr>
    <w:rPr>
      <w:kern w:val="28"/>
      <w:lang w:eastAsia="fr-FR"/>
    </w:rPr>
  </w:style>
  <w:style w:type="paragraph" w:customStyle="1" w:styleId="ParagAlaMarge">
    <w:name w:val="ParagAlaMarge"/>
    <w:basedOn w:val="Paragraphe"/>
    <w:rsid w:val="006A7C53"/>
    <w:pPr>
      <w:numPr>
        <w:numId w:val="0"/>
      </w:numPr>
    </w:pPr>
  </w:style>
  <w:style w:type="paragraph" w:customStyle="1" w:styleId="ParagNonNum">
    <w:name w:val="ParagNonNum"/>
    <w:basedOn w:val="Paragraphe"/>
    <w:rsid w:val="006A7C53"/>
    <w:pPr>
      <w:numPr>
        <w:numId w:val="0"/>
      </w:numPr>
      <w:ind w:firstLine="720"/>
    </w:pPr>
  </w:style>
  <w:style w:type="paragraph" w:customStyle="1" w:styleId="Sous-paragraphe">
    <w:name w:val="Sous-paragraphe"/>
    <w:basedOn w:val="Normal"/>
    <w:rsid w:val="000E0C28"/>
    <w:pPr>
      <w:numPr>
        <w:ilvl w:val="1"/>
        <w:numId w:val="6"/>
      </w:numPr>
      <w:spacing w:before="120" w:after="120"/>
      <w:ind w:left="1440" w:hanging="720"/>
    </w:pPr>
    <w:rPr>
      <w:szCs w:val="24"/>
      <w:lang w:eastAsia="fr-FR"/>
    </w:rPr>
  </w:style>
  <w:style w:type="paragraph" w:customStyle="1" w:styleId="zSoquijdatDivision">
    <w:name w:val="zSoquij_datDivision"/>
    <w:basedOn w:val="Normal"/>
    <w:rsid w:val="00F772C1"/>
    <w:pPr>
      <w:jc w:val="center"/>
    </w:pPr>
    <w:rPr>
      <w:b/>
      <w:bCs/>
      <w:sz w:val="22"/>
      <w:szCs w:val="22"/>
    </w:rPr>
  </w:style>
  <w:style w:type="paragraph" w:customStyle="1" w:styleId="zSoquijlblLienParties">
    <w:name w:val="zSoquij_lblLienParties"/>
    <w:basedOn w:val="Normal"/>
    <w:rsid w:val="00D06652"/>
  </w:style>
  <w:style w:type="paragraph" w:customStyle="1" w:styleId="zSoquijdatDateAudience">
    <w:name w:val="zSoquij_datDateAudience"/>
    <w:basedOn w:val="Normal"/>
    <w:rsid w:val="000E56A6"/>
  </w:style>
  <w:style w:type="character" w:customStyle="1" w:styleId="Titre1Car">
    <w:name w:val="Titre 1 Car"/>
    <w:link w:val="Titre1"/>
    <w:rsid w:val="00F96E41"/>
    <w:rPr>
      <w:rFonts w:ascii="Arial" w:hAnsi="Arial" w:cs="Arial"/>
      <w:b/>
      <w:bCs/>
      <w:caps/>
      <w:kern w:val="32"/>
      <w:sz w:val="24"/>
      <w:szCs w:val="32"/>
      <w:u w:val="single"/>
      <w:lang w:val="fr-CA" w:eastAsia="fr-FR" w:bidi="ar-SA"/>
    </w:rPr>
  </w:style>
  <w:style w:type="paragraph" w:customStyle="1" w:styleId="ParagConclusion">
    <w:name w:val="ParagConclusion"/>
    <w:basedOn w:val="Normal"/>
    <w:rsid w:val="003D18FC"/>
    <w:pPr>
      <w:spacing w:before="160" w:after="160"/>
      <w:ind w:left="2448" w:hanging="2448"/>
    </w:pPr>
    <w:rPr>
      <w:rFonts w:eastAsia="Calibri" w:cs="Arial"/>
      <w:szCs w:val="24"/>
      <w:lang w:eastAsia="fr-FR"/>
    </w:rPr>
  </w:style>
  <w:style w:type="paragraph" w:customStyle="1" w:styleId="yChPInterv">
    <w:name w:val="yCh_PInterv"/>
    <w:rsid w:val="00474489"/>
    <w:rPr>
      <w:rFonts w:ascii="Arial" w:hAnsi="Arial"/>
      <w:sz w:val="24"/>
    </w:rPr>
  </w:style>
  <w:style w:type="character" w:styleId="Lienhypertexte">
    <w:name w:val="Hyperlink"/>
    <w:unhideWhenUsed/>
    <w:rsid w:val="00AF3189"/>
    <w:rPr>
      <w:color w:val="0563C1"/>
      <w:u w:val="single"/>
    </w:rPr>
  </w:style>
  <w:style w:type="character" w:customStyle="1" w:styleId="CarCar1">
    <w:name w:val="Car Car1"/>
    <w:semiHidden/>
    <w:rsid w:val="00D73BB4"/>
    <w:rPr>
      <w:rFonts w:ascii="Arial" w:eastAsia="Times New Roman" w:hAnsi="Arial"/>
      <w:sz w:val="24"/>
    </w:rPr>
  </w:style>
  <w:style w:type="paragraph" w:styleId="Paragraphedeliste">
    <w:name w:val="List Paragraph"/>
    <w:basedOn w:val="Normal"/>
    <w:qFormat/>
    <w:rsid w:val="00D73BB4"/>
    <w:pPr>
      <w:ind w:left="720"/>
      <w:contextualSpacing/>
    </w:pPr>
  </w:style>
  <w:style w:type="character" w:customStyle="1" w:styleId="CarCar2">
    <w:name w:val="Car Car2"/>
    <w:rsid w:val="00CD04D9"/>
    <w:rPr>
      <w:rFonts w:ascii="Arial" w:hAnsi="Arial"/>
      <w:sz w:val="24"/>
    </w:rPr>
  </w:style>
  <w:style w:type="character" w:customStyle="1" w:styleId="FootnoteTextChar">
    <w:name w:val="Footnote Text Char"/>
    <w:basedOn w:val="Policepardfaut"/>
    <w:locked/>
    <w:rsid w:val="00ED57F6"/>
    <w:rPr>
      <w:rFonts w:ascii="Arial" w:hAnsi="Arial" w:cs="Times New Roman"/>
      <w:sz w:val="24"/>
    </w:rPr>
  </w:style>
  <w:style w:type="character" w:styleId="Marquedecommentaire">
    <w:name w:val="annotation reference"/>
    <w:basedOn w:val="Policepardfaut"/>
    <w:rsid w:val="00D10328"/>
    <w:rPr>
      <w:sz w:val="16"/>
      <w:szCs w:val="16"/>
    </w:rPr>
  </w:style>
  <w:style w:type="paragraph" w:styleId="Commentaire">
    <w:name w:val="annotation text"/>
    <w:basedOn w:val="Normal"/>
    <w:link w:val="CommentaireCar"/>
    <w:rsid w:val="00D10328"/>
    <w:rPr>
      <w:sz w:val="20"/>
    </w:rPr>
  </w:style>
  <w:style w:type="character" w:customStyle="1" w:styleId="CommentaireCar">
    <w:name w:val="Commentaire Car"/>
    <w:basedOn w:val="Policepardfaut"/>
    <w:link w:val="Commentaire"/>
    <w:rsid w:val="00D10328"/>
    <w:rPr>
      <w:rFonts w:ascii="Arial" w:hAnsi="Arial"/>
    </w:rPr>
  </w:style>
  <w:style w:type="paragraph" w:styleId="Objetducommentaire">
    <w:name w:val="annotation subject"/>
    <w:basedOn w:val="Commentaire"/>
    <w:next w:val="Commentaire"/>
    <w:link w:val="ObjetducommentaireCar"/>
    <w:rsid w:val="00D10328"/>
    <w:rPr>
      <w:b/>
      <w:bCs/>
    </w:rPr>
  </w:style>
  <w:style w:type="character" w:customStyle="1" w:styleId="ObjetducommentaireCar">
    <w:name w:val="Objet du commentaire Car"/>
    <w:basedOn w:val="CommentaireCar"/>
    <w:link w:val="Objetducommentaire"/>
    <w:rsid w:val="00D10328"/>
    <w:rPr>
      <w:rFonts w:ascii="Arial" w:hAnsi="Arial"/>
      <w:b/>
      <w:bCs/>
    </w:rPr>
  </w:style>
  <w:style w:type="paragraph" w:styleId="Textedebulles">
    <w:name w:val="Balloon Text"/>
    <w:basedOn w:val="Normal"/>
    <w:link w:val="TextedebullesCar"/>
    <w:rsid w:val="00D10328"/>
    <w:rPr>
      <w:rFonts w:ascii="Segoe UI" w:hAnsi="Segoe UI" w:cs="Segoe UI"/>
      <w:sz w:val="18"/>
      <w:szCs w:val="18"/>
    </w:rPr>
  </w:style>
  <w:style w:type="character" w:customStyle="1" w:styleId="TextedebullesCar">
    <w:name w:val="Texte de bulles Car"/>
    <w:basedOn w:val="Policepardfaut"/>
    <w:link w:val="Textedebulles"/>
    <w:rsid w:val="00D10328"/>
    <w:rPr>
      <w:rFonts w:ascii="Segoe UI" w:hAnsi="Segoe UI" w:cs="Segoe UI"/>
      <w:sz w:val="18"/>
      <w:szCs w:val="18"/>
    </w:rPr>
  </w:style>
  <w:style w:type="table" w:styleId="Grilledutableau">
    <w:name w:val="Table Grid"/>
    <w:basedOn w:val="TableauNormal"/>
    <w:rsid w:val="00AF38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AT\decis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decision</Template>
  <TotalTime>9</TotalTime>
  <Pages>10</Pages>
  <Words>1031</Words>
  <Characters>5861</Characters>
  <Application>Microsoft Office Word</Application>
  <DocSecurity>0</DocSecurity>
  <Lines>183</Lines>
  <Paragraphs>88</Paragraphs>
  <ScaleCrop>false</ScaleCrop>
  <HeadingPairs>
    <vt:vector size="2" baseType="variant">
      <vt:variant>
        <vt:lpstr>Titre</vt:lpstr>
      </vt:variant>
      <vt:variant>
        <vt:i4>1</vt:i4>
      </vt:variant>
    </vt:vector>
  </HeadingPairs>
  <TitlesOfParts>
    <vt:vector size="1" baseType="lpstr">
      <vt:lpstr>Modèle de décision CLP - juillet 2015</vt:lpstr>
    </vt:vector>
  </TitlesOfParts>
  <Company>CLP</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décision CLP - juillet 2015</dc:title>
  <dc:subject/>
  <dc:creator>Alexandra Guzman Arambulo</dc:creator>
  <cp:keywords/>
  <dc:description/>
  <cp:lastModifiedBy>Alexandra Guzman Arambulo</cp:lastModifiedBy>
  <cp:revision>11</cp:revision>
  <dcterms:created xsi:type="dcterms:W3CDTF">2021-05-26T10:03:00Z</dcterms:created>
  <dcterms:modified xsi:type="dcterms:W3CDTF">2021-05-31T13:42:00Z</dcterms:modified>
</cp:coreProperties>
</file>