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7F349E" w:rsidRPr="008A7FD1" w14:paraId="63727067" w14:textId="77777777" w:rsidTr="0033472E">
        <w:trPr>
          <w:cantSplit/>
        </w:trPr>
        <w:tc>
          <w:tcPr>
            <w:tcW w:w="4795" w:type="dxa"/>
          </w:tcPr>
          <w:p w14:paraId="6F7A5B0C" w14:textId="4A81EB03" w:rsidR="007F349E" w:rsidRPr="008E15E6" w:rsidRDefault="008E15E6" w:rsidP="008E15E6">
            <w:pPr>
              <w:pStyle w:val="zSoquijdatRepertorie"/>
              <w:rPr>
                <w:rFonts w:cs="Arial"/>
              </w:rPr>
            </w:pPr>
            <w:bookmarkStart w:id="0" w:name="_GoBack"/>
            <w:bookmarkEnd w:id="0"/>
            <w:r>
              <w:rPr>
                <w:rFonts w:cs="Arial"/>
              </w:rPr>
              <w:t>Syndicat nordique des infirmières et infirmiers de la Baie-James (FIQ) et Conseil Cri de la santé et des services sociaux de la Baie James</w:t>
            </w:r>
          </w:p>
        </w:tc>
        <w:tc>
          <w:tcPr>
            <w:tcW w:w="2477" w:type="dxa"/>
          </w:tcPr>
          <w:p w14:paraId="4403DE42" w14:textId="253F1CED" w:rsidR="007F349E" w:rsidRPr="00997624" w:rsidRDefault="00997624" w:rsidP="00997624">
            <w:pPr>
              <w:pStyle w:val="zSoquijdatRefNeutre"/>
              <w:rPr>
                <w:rFonts w:cs="Arial"/>
              </w:rPr>
            </w:pPr>
            <w:r w:rsidRPr="00997624">
              <w:rPr>
                <w:rFonts w:cs="Arial"/>
              </w:rPr>
              <w:t>2023 QCTAT 2659</w:t>
            </w:r>
          </w:p>
        </w:tc>
      </w:tr>
    </w:tbl>
    <w:p w14:paraId="384F04DF" w14:textId="77777777" w:rsidR="007F349E" w:rsidRDefault="007F349E" w:rsidP="007F349E"/>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7F349E" w14:paraId="60BC18BF" w14:textId="77777777" w:rsidTr="0033472E">
        <w:trPr>
          <w:cantSplit/>
        </w:trPr>
        <w:tc>
          <w:tcPr>
            <w:tcW w:w="9568" w:type="dxa"/>
            <w:gridSpan w:val="4"/>
          </w:tcPr>
          <w:p w14:paraId="4A7AB69A" w14:textId="77777777" w:rsidR="007F349E" w:rsidRPr="00BE1981" w:rsidRDefault="007F349E" w:rsidP="0033472E">
            <w:pPr>
              <w:rPr>
                <w:szCs w:val="24"/>
              </w:rPr>
            </w:pPr>
          </w:p>
        </w:tc>
      </w:tr>
      <w:tr w:rsidR="007F349E" w14:paraId="5BB9C1C6" w14:textId="77777777" w:rsidTr="0033472E">
        <w:trPr>
          <w:cantSplit/>
        </w:trPr>
        <w:tc>
          <w:tcPr>
            <w:tcW w:w="9568" w:type="dxa"/>
            <w:gridSpan w:val="4"/>
            <w:vAlign w:val="center"/>
          </w:tcPr>
          <w:p w14:paraId="2B0E3952" w14:textId="77777777" w:rsidR="007F349E" w:rsidRPr="000E1320" w:rsidRDefault="007F349E" w:rsidP="0033472E">
            <w:pPr>
              <w:jc w:val="center"/>
              <w:rPr>
                <w:sz w:val="36"/>
                <w:szCs w:val="36"/>
              </w:rPr>
            </w:pPr>
            <w:r w:rsidRPr="000E1320">
              <w:rPr>
                <w:b/>
                <w:sz w:val="36"/>
                <w:szCs w:val="36"/>
              </w:rPr>
              <w:t>TRIBUNAL ADMINISTRATIF DU TRAVAIL</w:t>
            </w:r>
          </w:p>
        </w:tc>
      </w:tr>
      <w:tr w:rsidR="007F349E" w14:paraId="72E957A1" w14:textId="77777777" w:rsidTr="0033472E">
        <w:trPr>
          <w:cantSplit/>
        </w:trPr>
        <w:tc>
          <w:tcPr>
            <w:tcW w:w="9568" w:type="dxa"/>
            <w:gridSpan w:val="4"/>
          </w:tcPr>
          <w:p w14:paraId="004BB19C" w14:textId="77777777" w:rsidR="007F349E" w:rsidRPr="00BE7014" w:rsidRDefault="007F349E" w:rsidP="0033472E">
            <w:pPr>
              <w:pStyle w:val="zSoquijdatDivision"/>
            </w:pPr>
            <w:r w:rsidRPr="00BE7014">
              <w:t>(</w:t>
            </w:r>
            <w:r w:rsidR="00E54BB0" w:rsidRPr="00441ADA">
              <w:t>Division des services essentiels</w:t>
            </w:r>
            <w:r w:rsidRPr="00BE7014">
              <w:t>)</w:t>
            </w:r>
          </w:p>
        </w:tc>
      </w:tr>
      <w:tr w:rsidR="007F349E" w14:paraId="6036680E" w14:textId="77777777" w:rsidTr="0033472E">
        <w:trPr>
          <w:cantSplit/>
        </w:trPr>
        <w:tc>
          <w:tcPr>
            <w:tcW w:w="9568" w:type="dxa"/>
            <w:gridSpan w:val="4"/>
          </w:tcPr>
          <w:p w14:paraId="7CD3B0E6" w14:textId="77777777" w:rsidR="007F349E" w:rsidRDefault="007F349E" w:rsidP="0033472E"/>
        </w:tc>
      </w:tr>
      <w:tr w:rsidR="007F349E" w14:paraId="7800C5A0" w14:textId="77777777" w:rsidTr="0033472E">
        <w:trPr>
          <w:cantSplit/>
        </w:trPr>
        <w:tc>
          <w:tcPr>
            <w:tcW w:w="9568" w:type="dxa"/>
            <w:gridSpan w:val="4"/>
          </w:tcPr>
          <w:p w14:paraId="2242CEB5" w14:textId="77777777" w:rsidR="007F349E" w:rsidRDefault="007F349E" w:rsidP="0033472E"/>
        </w:tc>
      </w:tr>
      <w:tr w:rsidR="007F349E" w14:paraId="54053E79" w14:textId="77777777" w:rsidTr="0033472E">
        <w:tc>
          <w:tcPr>
            <w:tcW w:w="3614" w:type="dxa"/>
          </w:tcPr>
          <w:p w14:paraId="50AA7D17" w14:textId="77777777" w:rsidR="007F349E" w:rsidRDefault="007F349E" w:rsidP="0033472E">
            <w:bookmarkStart w:id="1" w:name="region" w:colFirst="1" w:colLast="1"/>
            <w:r>
              <w:t>Région :</w:t>
            </w:r>
          </w:p>
        </w:tc>
        <w:tc>
          <w:tcPr>
            <w:tcW w:w="5954" w:type="dxa"/>
            <w:gridSpan w:val="3"/>
          </w:tcPr>
          <w:p w14:paraId="378DBFD6" w14:textId="77777777" w:rsidR="007F349E" w:rsidRDefault="00B27F22" w:rsidP="0033472E">
            <w:pPr>
              <w:pStyle w:val="zSoquijdatGreffe"/>
            </w:pPr>
            <w:r>
              <w:t>Abitibi-Témiscamingue</w:t>
            </w:r>
          </w:p>
        </w:tc>
      </w:tr>
      <w:bookmarkEnd w:id="1"/>
      <w:tr w:rsidR="007F349E" w14:paraId="260B525F" w14:textId="77777777" w:rsidTr="0033472E">
        <w:trPr>
          <w:cantSplit/>
        </w:trPr>
        <w:tc>
          <w:tcPr>
            <w:tcW w:w="9568" w:type="dxa"/>
            <w:gridSpan w:val="4"/>
          </w:tcPr>
          <w:p w14:paraId="683A779B" w14:textId="77777777" w:rsidR="007F349E" w:rsidRDefault="007F349E" w:rsidP="0033472E"/>
        </w:tc>
      </w:tr>
      <w:tr w:rsidR="007F349E" w14:paraId="7C5EF00F" w14:textId="77777777" w:rsidTr="0033472E">
        <w:tc>
          <w:tcPr>
            <w:tcW w:w="3614" w:type="dxa"/>
          </w:tcPr>
          <w:p w14:paraId="1B63D0EB" w14:textId="77777777" w:rsidR="007F349E" w:rsidRDefault="007F349E" w:rsidP="0033472E">
            <w:bookmarkStart w:id="2" w:name="ref_dossier" w:colFirst="1" w:colLast="1"/>
            <w:r>
              <w:t>Dossier</w:t>
            </w:r>
            <w:bookmarkStart w:id="3" w:name="dossiers"/>
            <w:bookmarkEnd w:id="3"/>
            <w:r>
              <w:t> :</w:t>
            </w:r>
          </w:p>
        </w:tc>
        <w:tc>
          <w:tcPr>
            <w:tcW w:w="5954" w:type="dxa"/>
            <w:gridSpan w:val="3"/>
          </w:tcPr>
          <w:p w14:paraId="5F528902" w14:textId="77777777" w:rsidR="007F349E" w:rsidRDefault="00E54BB0" w:rsidP="0033472E">
            <w:pPr>
              <w:pStyle w:val="zSoquijdatNoDossier"/>
            </w:pPr>
            <w:r>
              <w:t>1308351-31-</w:t>
            </w:r>
            <w:r w:rsidRPr="00E54BB0">
              <w:t>2304</w:t>
            </w:r>
          </w:p>
        </w:tc>
      </w:tr>
      <w:bookmarkEnd w:id="2"/>
      <w:tr w:rsidR="007F349E" w14:paraId="7EF5604F" w14:textId="77777777" w:rsidTr="0033472E">
        <w:trPr>
          <w:cantSplit/>
        </w:trPr>
        <w:tc>
          <w:tcPr>
            <w:tcW w:w="9568" w:type="dxa"/>
            <w:gridSpan w:val="4"/>
          </w:tcPr>
          <w:p w14:paraId="612C6396" w14:textId="77777777" w:rsidR="007F349E" w:rsidRDefault="007F349E" w:rsidP="0033472E">
            <w:r>
              <w:fldChar w:fldCharType="begin"/>
            </w:r>
            <w:r>
              <w:instrText xml:space="preserve"> AUTOTEXTLIST  \* Upper  \* MERGEFORMAT </w:instrText>
            </w:r>
            <w:r>
              <w:fldChar w:fldCharType="end"/>
            </w:r>
          </w:p>
        </w:tc>
      </w:tr>
      <w:tr w:rsidR="007F349E" w14:paraId="225E94C7" w14:textId="77777777" w:rsidTr="0033472E">
        <w:tc>
          <w:tcPr>
            <w:tcW w:w="3614" w:type="dxa"/>
          </w:tcPr>
          <w:p w14:paraId="267CA957" w14:textId="77777777" w:rsidR="007F349E" w:rsidRDefault="007F349E" w:rsidP="0033472E">
            <w:pPr>
              <w:ind w:right="46"/>
            </w:pPr>
            <w:r>
              <w:t xml:space="preserve">Dossier </w:t>
            </w:r>
            <w:r w:rsidR="00E54BB0" w:rsidRPr="00E54BB0">
              <w:rPr>
                <w:szCs w:val="24"/>
              </w:rPr>
              <w:t>accréditation</w:t>
            </w:r>
            <w:r w:rsidRPr="008C79A7">
              <w:rPr>
                <w:szCs w:val="24"/>
              </w:rPr>
              <w:t xml:space="preserve"> :</w:t>
            </w:r>
          </w:p>
        </w:tc>
        <w:tc>
          <w:tcPr>
            <w:tcW w:w="5954" w:type="dxa"/>
            <w:gridSpan w:val="3"/>
          </w:tcPr>
          <w:p w14:paraId="17794527" w14:textId="77777777" w:rsidR="007F349E" w:rsidRDefault="00E54BB0" w:rsidP="0033472E">
            <w:pPr>
              <w:pStyle w:val="zSoquijdatNCSST"/>
            </w:pPr>
            <w:r w:rsidRPr="00E54BB0">
              <w:t>AM-1001-7189</w:t>
            </w:r>
          </w:p>
        </w:tc>
      </w:tr>
      <w:tr w:rsidR="007F349E" w14:paraId="08FCECE9" w14:textId="77777777" w:rsidTr="0033472E">
        <w:trPr>
          <w:cantSplit/>
        </w:trPr>
        <w:tc>
          <w:tcPr>
            <w:tcW w:w="9568" w:type="dxa"/>
            <w:gridSpan w:val="4"/>
          </w:tcPr>
          <w:p w14:paraId="217E6532" w14:textId="77777777" w:rsidR="007F349E" w:rsidRDefault="007F349E" w:rsidP="0033472E"/>
        </w:tc>
      </w:tr>
      <w:tr w:rsidR="007F349E" w14:paraId="67C03EA8" w14:textId="77777777" w:rsidTr="0033472E">
        <w:trPr>
          <w:cantSplit/>
        </w:trPr>
        <w:tc>
          <w:tcPr>
            <w:tcW w:w="9568" w:type="dxa"/>
            <w:gridSpan w:val="4"/>
          </w:tcPr>
          <w:p w14:paraId="6A194D88" w14:textId="77777777" w:rsidR="007F349E" w:rsidRDefault="007F349E" w:rsidP="0033472E"/>
        </w:tc>
      </w:tr>
      <w:tr w:rsidR="007F349E" w14:paraId="541C0504" w14:textId="77777777" w:rsidTr="0033472E">
        <w:trPr>
          <w:cantSplit/>
        </w:trPr>
        <w:tc>
          <w:tcPr>
            <w:tcW w:w="3614" w:type="dxa"/>
          </w:tcPr>
          <w:p w14:paraId="5530B495" w14:textId="77777777" w:rsidR="007F349E" w:rsidRDefault="00E54BB0" w:rsidP="0033472E">
            <w:pPr>
              <w:tabs>
                <w:tab w:val="left" w:pos="2672"/>
              </w:tabs>
            </w:pPr>
            <w:r>
              <w:t>Montréal</w:t>
            </w:r>
            <w:r w:rsidR="007F349E">
              <w:t>,</w:t>
            </w:r>
          </w:p>
        </w:tc>
        <w:tc>
          <w:tcPr>
            <w:tcW w:w="5954" w:type="dxa"/>
            <w:gridSpan w:val="3"/>
          </w:tcPr>
          <w:p w14:paraId="488C9424" w14:textId="77777777" w:rsidR="007F349E" w:rsidRDefault="007F349E" w:rsidP="00F61BF5">
            <w:pPr>
              <w:pStyle w:val="zSoquijdatDateJugement"/>
            </w:pPr>
            <w:r>
              <w:t xml:space="preserve">le </w:t>
            </w:r>
            <w:r w:rsidR="00F61BF5">
              <w:t>16 juin 2023</w:t>
            </w:r>
          </w:p>
        </w:tc>
      </w:tr>
      <w:tr w:rsidR="007F349E" w14:paraId="6202EB53" w14:textId="77777777" w:rsidTr="0033472E">
        <w:trPr>
          <w:cantSplit/>
        </w:trPr>
        <w:tc>
          <w:tcPr>
            <w:tcW w:w="9568" w:type="dxa"/>
            <w:gridSpan w:val="4"/>
          </w:tcPr>
          <w:p w14:paraId="51F93F6C" w14:textId="77777777" w:rsidR="007F349E" w:rsidRDefault="007F349E" w:rsidP="0033472E">
            <w:r>
              <w:t>______________________________________________________________________</w:t>
            </w:r>
          </w:p>
        </w:tc>
      </w:tr>
      <w:tr w:rsidR="007F349E" w14:paraId="24D6CBE3" w14:textId="77777777" w:rsidTr="0033472E">
        <w:trPr>
          <w:cantSplit/>
          <w:trHeight w:val="148"/>
        </w:trPr>
        <w:tc>
          <w:tcPr>
            <w:tcW w:w="9568" w:type="dxa"/>
            <w:gridSpan w:val="4"/>
          </w:tcPr>
          <w:p w14:paraId="250AA7DF" w14:textId="77777777" w:rsidR="007F349E" w:rsidRDefault="007F349E" w:rsidP="0033472E"/>
        </w:tc>
      </w:tr>
      <w:tr w:rsidR="007F349E" w14:paraId="3359D988" w14:textId="77777777" w:rsidTr="0033472E">
        <w:trPr>
          <w:cantSplit/>
          <w:trHeight w:val="148"/>
        </w:trPr>
        <w:tc>
          <w:tcPr>
            <w:tcW w:w="5457" w:type="dxa"/>
            <w:gridSpan w:val="3"/>
          </w:tcPr>
          <w:p w14:paraId="5F588DF1" w14:textId="77777777" w:rsidR="007F349E" w:rsidRPr="00942AB8" w:rsidRDefault="007F349E" w:rsidP="00E54BB0">
            <w:pPr>
              <w:rPr>
                <w:b/>
                <w:bCs/>
              </w:rPr>
            </w:pPr>
            <w:bookmarkStart w:id="4" w:name="ref_commissaire" w:colFirst="1" w:colLast="1"/>
            <w:r w:rsidRPr="00942AB8">
              <w:rPr>
                <w:b/>
                <w:bCs/>
              </w:rPr>
              <w:t>DEVANT L</w:t>
            </w:r>
            <w:r w:rsidR="00E54BB0">
              <w:rPr>
                <w:b/>
                <w:bCs/>
              </w:rPr>
              <w:t>A</w:t>
            </w:r>
            <w:r w:rsidRPr="00942AB8">
              <w:rPr>
                <w:b/>
                <w:bCs/>
              </w:rPr>
              <w:t xml:space="preserve"> JUGE ADMINISTRATI</w:t>
            </w:r>
            <w:r w:rsidR="00E54BB0">
              <w:rPr>
                <w:b/>
                <w:bCs/>
              </w:rPr>
              <w:t>VE</w:t>
            </w:r>
            <w:r w:rsidRPr="00942AB8">
              <w:rPr>
                <w:b/>
                <w:bCs/>
              </w:rPr>
              <w:t> :</w:t>
            </w:r>
          </w:p>
        </w:tc>
        <w:tc>
          <w:tcPr>
            <w:tcW w:w="4111" w:type="dxa"/>
          </w:tcPr>
          <w:p w14:paraId="634A4585" w14:textId="77777777" w:rsidR="007F349E" w:rsidRPr="00942AB8" w:rsidRDefault="00E54BB0" w:rsidP="0033472E">
            <w:pPr>
              <w:pStyle w:val="zSoquijdatJuge"/>
              <w:rPr>
                <w:bCs/>
              </w:rPr>
            </w:pPr>
            <w:r w:rsidRPr="00E54BB0">
              <w:t>Véronique Girard</w:t>
            </w:r>
          </w:p>
        </w:tc>
      </w:tr>
      <w:bookmarkEnd w:id="4"/>
      <w:tr w:rsidR="007F349E" w14:paraId="70EAA6BB" w14:textId="77777777" w:rsidTr="0033472E">
        <w:trPr>
          <w:cantSplit/>
          <w:trHeight w:val="148"/>
        </w:trPr>
        <w:tc>
          <w:tcPr>
            <w:tcW w:w="9568" w:type="dxa"/>
            <w:gridSpan w:val="4"/>
          </w:tcPr>
          <w:p w14:paraId="18FB048F" w14:textId="77777777" w:rsidR="007F349E" w:rsidRDefault="007F349E" w:rsidP="0033472E">
            <w:r>
              <w:t>______________________________________________________________________</w:t>
            </w:r>
          </w:p>
        </w:tc>
      </w:tr>
      <w:tr w:rsidR="007F349E" w14:paraId="4D31E546" w14:textId="77777777" w:rsidTr="0033472E">
        <w:tc>
          <w:tcPr>
            <w:tcW w:w="9568" w:type="dxa"/>
            <w:gridSpan w:val="4"/>
          </w:tcPr>
          <w:p w14:paraId="750B4A64" w14:textId="77777777" w:rsidR="007F349E" w:rsidRDefault="007F349E" w:rsidP="0033472E"/>
        </w:tc>
      </w:tr>
      <w:tr w:rsidR="007F349E" w14:paraId="2F337066" w14:textId="77777777" w:rsidTr="0033472E">
        <w:tc>
          <w:tcPr>
            <w:tcW w:w="4748" w:type="dxa"/>
            <w:gridSpan w:val="2"/>
          </w:tcPr>
          <w:p w14:paraId="0E358D84" w14:textId="77777777" w:rsidR="007F349E" w:rsidRDefault="007F349E" w:rsidP="0033472E">
            <w:bookmarkStart w:id="5" w:name="bloc_parties_gauche"/>
            <w:bookmarkEnd w:id="5"/>
          </w:p>
        </w:tc>
        <w:tc>
          <w:tcPr>
            <w:tcW w:w="4820" w:type="dxa"/>
            <w:gridSpan w:val="2"/>
          </w:tcPr>
          <w:p w14:paraId="3782C7B0" w14:textId="77777777" w:rsidR="007F349E" w:rsidRDefault="007F349E" w:rsidP="0033472E"/>
        </w:tc>
      </w:tr>
      <w:tr w:rsidR="007F349E" w14:paraId="44DA1456" w14:textId="77777777" w:rsidTr="0033472E">
        <w:tc>
          <w:tcPr>
            <w:tcW w:w="4748" w:type="dxa"/>
            <w:gridSpan w:val="2"/>
          </w:tcPr>
          <w:p w14:paraId="636BBB24" w14:textId="77777777" w:rsidR="007F349E" w:rsidRDefault="00E54BB0" w:rsidP="0033472E">
            <w:pPr>
              <w:pStyle w:val="zSoquijdatNomPartieDem"/>
              <w:rPr>
                <w:b/>
              </w:rPr>
            </w:pPr>
            <w:r w:rsidRPr="00E54BB0">
              <w:rPr>
                <w:b/>
              </w:rPr>
              <w:t>Syndicat nordique des infirmières et infirmiers de la Baie-James (FIQ)</w:t>
            </w:r>
          </w:p>
        </w:tc>
        <w:tc>
          <w:tcPr>
            <w:tcW w:w="4820" w:type="dxa"/>
            <w:gridSpan w:val="2"/>
          </w:tcPr>
          <w:p w14:paraId="36F735DC" w14:textId="77777777" w:rsidR="007F349E" w:rsidRDefault="007F349E" w:rsidP="0033472E"/>
        </w:tc>
      </w:tr>
      <w:tr w:rsidR="007F349E" w14:paraId="6D1385D0" w14:textId="77777777" w:rsidTr="0033472E">
        <w:tc>
          <w:tcPr>
            <w:tcW w:w="4748" w:type="dxa"/>
            <w:gridSpan w:val="2"/>
          </w:tcPr>
          <w:p w14:paraId="7D4AF1CB" w14:textId="77777777" w:rsidR="007F349E" w:rsidRDefault="00E54BB0" w:rsidP="0033472E">
            <w:pPr>
              <w:pStyle w:val="zSoquijdatQtePartieDem"/>
              <w:tabs>
                <w:tab w:val="left" w:pos="3539"/>
              </w:tabs>
              <w:ind w:left="708"/>
            </w:pPr>
            <w:bookmarkStart w:id="6" w:name="partie_demanderesse"/>
            <w:bookmarkEnd w:id="6"/>
            <w:r>
              <w:t>Association accréditée</w:t>
            </w:r>
          </w:p>
        </w:tc>
        <w:tc>
          <w:tcPr>
            <w:tcW w:w="4820" w:type="dxa"/>
            <w:gridSpan w:val="2"/>
          </w:tcPr>
          <w:p w14:paraId="3F2AEEAF" w14:textId="77777777" w:rsidR="007F349E" w:rsidRDefault="007F349E" w:rsidP="0033472E"/>
        </w:tc>
      </w:tr>
      <w:tr w:rsidR="007F349E" w14:paraId="56FE70AE" w14:textId="77777777" w:rsidTr="0033472E">
        <w:tc>
          <w:tcPr>
            <w:tcW w:w="4748" w:type="dxa"/>
            <w:gridSpan w:val="2"/>
          </w:tcPr>
          <w:p w14:paraId="21017F64" w14:textId="77777777" w:rsidR="007F349E" w:rsidRDefault="007F349E" w:rsidP="0033472E"/>
        </w:tc>
        <w:tc>
          <w:tcPr>
            <w:tcW w:w="4820" w:type="dxa"/>
            <w:gridSpan w:val="2"/>
          </w:tcPr>
          <w:p w14:paraId="5180D87F" w14:textId="77777777" w:rsidR="007F349E" w:rsidRDefault="007F349E" w:rsidP="0033472E"/>
        </w:tc>
      </w:tr>
      <w:tr w:rsidR="007F349E" w14:paraId="07D13AED" w14:textId="77777777" w:rsidTr="0033472E">
        <w:tc>
          <w:tcPr>
            <w:tcW w:w="4748" w:type="dxa"/>
            <w:gridSpan w:val="2"/>
          </w:tcPr>
          <w:p w14:paraId="7A35964E" w14:textId="77777777" w:rsidR="007F349E" w:rsidRDefault="00E54BB0" w:rsidP="0033472E">
            <w:pPr>
              <w:pStyle w:val="zSoquijlblLienParties"/>
            </w:pPr>
            <w:r>
              <w:t>et</w:t>
            </w:r>
          </w:p>
        </w:tc>
        <w:tc>
          <w:tcPr>
            <w:tcW w:w="4820" w:type="dxa"/>
            <w:gridSpan w:val="2"/>
          </w:tcPr>
          <w:p w14:paraId="74D41908" w14:textId="77777777" w:rsidR="007F349E" w:rsidRDefault="007F349E" w:rsidP="0033472E"/>
        </w:tc>
      </w:tr>
      <w:tr w:rsidR="007F349E" w14:paraId="667CCA5A" w14:textId="77777777" w:rsidTr="0033472E">
        <w:tc>
          <w:tcPr>
            <w:tcW w:w="4748" w:type="dxa"/>
            <w:gridSpan w:val="2"/>
          </w:tcPr>
          <w:p w14:paraId="00CE42AF" w14:textId="77777777" w:rsidR="007F349E" w:rsidRDefault="007F349E" w:rsidP="0033472E"/>
        </w:tc>
        <w:tc>
          <w:tcPr>
            <w:tcW w:w="4820" w:type="dxa"/>
            <w:gridSpan w:val="2"/>
          </w:tcPr>
          <w:p w14:paraId="03E0E9FA" w14:textId="77777777" w:rsidR="007F349E" w:rsidRDefault="007F349E" w:rsidP="0033472E"/>
        </w:tc>
      </w:tr>
      <w:tr w:rsidR="007F349E" w14:paraId="02DCF844" w14:textId="77777777" w:rsidTr="0033472E">
        <w:tc>
          <w:tcPr>
            <w:tcW w:w="4748" w:type="dxa"/>
            <w:gridSpan w:val="2"/>
          </w:tcPr>
          <w:p w14:paraId="5C6BBC50" w14:textId="77777777" w:rsidR="007F349E" w:rsidRDefault="00E54BB0" w:rsidP="0033472E">
            <w:pPr>
              <w:pStyle w:val="zSoquijdatNomPartieDef"/>
              <w:rPr>
                <w:b/>
              </w:rPr>
            </w:pPr>
            <w:r w:rsidRPr="00E54BB0">
              <w:rPr>
                <w:b/>
              </w:rPr>
              <w:t>Conseil Cri de la santé et des services sociaux de la Baie James</w:t>
            </w:r>
          </w:p>
        </w:tc>
        <w:tc>
          <w:tcPr>
            <w:tcW w:w="4820" w:type="dxa"/>
            <w:gridSpan w:val="2"/>
          </w:tcPr>
          <w:p w14:paraId="2C242CF2" w14:textId="77777777" w:rsidR="007F349E" w:rsidRDefault="007F349E" w:rsidP="0033472E"/>
        </w:tc>
      </w:tr>
      <w:tr w:rsidR="007F349E" w14:paraId="247090D0" w14:textId="77777777" w:rsidTr="0033472E">
        <w:tc>
          <w:tcPr>
            <w:tcW w:w="4748" w:type="dxa"/>
            <w:gridSpan w:val="2"/>
          </w:tcPr>
          <w:p w14:paraId="722CEC97" w14:textId="77777777" w:rsidR="007F349E" w:rsidRDefault="007F349E" w:rsidP="0033472E">
            <w:pPr>
              <w:pStyle w:val="zSoquijdatQtePartieDef"/>
              <w:ind w:left="708"/>
            </w:pPr>
            <w:r w:rsidRPr="00E97676">
              <w:t>Employeur</w:t>
            </w:r>
          </w:p>
        </w:tc>
        <w:tc>
          <w:tcPr>
            <w:tcW w:w="4820" w:type="dxa"/>
            <w:gridSpan w:val="2"/>
          </w:tcPr>
          <w:p w14:paraId="407D5D49" w14:textId="77777777" w:rsidR="007F349E" w:rsidRDefault="007F349E" w:rsidP="0033472E"/>
        </w:tc>
      </w:tr>
      <w:tr w:rsidR="007F349E" w14:paraId="54315581" w14:textId="77777777" w:rsidTr="0033472E">
        <w:tc>
          <w:tcPr>
            <w:tcW w:w="4748" w:type="dxa"/>
            <w:gridSpan w:val="2"/>
          </w:tcPr>
          <w:p w14:paraId="0D70467F" w14:textId="77777777" w:rsidR="007F349E" w:rsidRDefault="007F349E" w:rsidP="0033472E"/>
        </w:tc>
        <w:tc>
          <w:tcPr>
            <w:tcW w:w="4820" w:type="dxa"/>
            <w:gridSpan w:val="2"/>
          </w:tcPr>
          <w:p w14:paraId="274D1BD4" w14:textId="77777777" w:rsidR="007F349E" w:rsidRDefault="007F349E" w:rsidP="0033472E"/>
        </w:tc>
      </w:tr>
    </w:tbl>
    <w:p w14:paraId="03AA0644" w14:textId="77777777" w:rsidR="007F349E" w:rsidRDefault="007F349E" w:rsidP="007F349E">
      <w:r>
        <w:t>______________________________________________________________________</w:t>
      </w:r>
    </w:p>
    <w:p w14:paraId="2CBF0E5C" w14:textId="77777777" w:rsidR="007F349E" w:rsidRDefault="007F349E" w:rsidP="007F349E"/>
    <w:p w14:paraId="3896A6FB" w14:textId="77777777" w:rsidR="007F349E" w:rsidRPr="005B0612" w:rsidRDefault="007F349E" w:rsidP="007F349E">
      <w:pPr>
        <w:jc w:val="center"/>
        <w:rPr>
          <w:b/>
          <w:bCs/>
        </w:rPr>
      </w:pPr>
      <w:bookmarkStart w:id="7" w:name="decision"/>
      <w:r w:rsidRPr="005B0612">
        <w:rPr>
          <w:b/>
          <w:bCs/>
        </w:rPr>
        <w:t>DÉCISION</w:t>
      </w:r>
      <w:bookmarkEnd w:id="7"/>
    </w:p>
    <w:p w14:paraId="0690B092" w14:textId="77777777" w:rsidR="007F349E" w:rsidRDefault="007F349E" w:rsidP="007F349E">
      <w:pPr>
        <w:jc w:val="center"/>
      </w:pPr>
      <w:r>
        <w:t>______________________________________________________________________</w:t>
      </w:r>
    </w:p>
    <w:p w14:paraId="77D28C28" w14:textId="77777777" w:rsidR="007F349E" w:rsidRDefault="007F349E" w:rsidP="007F349E"/>
    <w:p w14:paraId="6357C06F" w14:textId="77777777" w:rsidR="007F349E" w:rsidRDefault="007F349E" w:rsidP="00E54BB0">
      <w:pPr>
        <w:pStyle w:val="corpsdedcision"/>
        <w:numPr>
          <w:ilvl w:val="0"/>
          <w:numId w:val="7"/>
        </w:numPr>
        <w:tabs>
          <w:tab w:val="clear" w:pos="360"/>
        </w:tabs>
        <w:spacing w:after="240"/>
      </w:pPr>
      <w:r>
        <w:t xml:space="preserve">L’employeur est un établissement visé par l’article 111.10 du </w:t>
      </w:r>
      <w:r>
        <w:rPr>
          <w:i/>
          <w:iCs/>
        </w:rPr>
        <w:t>Code du travail</w:t>
      </w:r>
      <w:r w:rsidRPr="00FD2885">
        <w:rPr>
          <w:rStyle w:val="Appelnotedebasdep"/>
          <w:iCs/>
        </w:rPr>
        <w:footnoteReference w:id="1"/>
      </w:r>
      <w:r w:rsidRPr="00FD2885">
        <w:t>,</w:t>
      </w:r>
      <w:r>
        <w:t xml:space="preserve"> qui exploite : </w:t>
      </w:r>
    </w:p>
    <w:p w14:paraId="387E3D5D" w14:textId="77777777" w:rsidR="007F349E" w:rsidRDefault="007F349E" w:rsidP="007E44CA">
      <w:pPr>
        <w:pStyle w:val="corpsdedcision"/>
        <w:numPr>
          <w:ilvl w:val="0"/>
          <w:numId w:val="0"/>
        </w:numPr>
        <w:tabs>
          <w:tab w:val="num" w:pos="8582"/>
        </w:tabs>
        <w:ind w:left="709" w:hanging="709"/>
        <w:jc w:val="left"/>
      </w:pPr>
      <w:r>
        <w:t xml:space="preserve">           - un ou des centres hospitaliers, centres d’hébergemen</w:t>
      </w:r>
      <w:r w:rsidR="00E6389B">
        <w:t>t de</w:t>
      </w:r>
      <w:r w:rsidR="00E54BB0">
        <w:t xml:space="preserve"> soins de longue durée.</w:t>
      </w:r>
    </w:p>
    <w:p w14:paraId="5E04E6DC" w14:textId="77777777" w:rsidR="00E54BB0" w:rsidRDefault="00E54BB0" w:rsidP="007F349E">
      <w:pPr>
        <w:pStyle w:val="corpsdedcision"/>
        <w:numPr>
          <w:ilvl w:val="0"/>
          <w:numId w:val="0"/>
        </w:numPr>
        <w:tabs>
          <w:tab w:val="num" w:pos="8582"/>
        </w:tabs>
        <w:jc w:val="left"/>
      </w:pPr>
    </w:p>
    <w:p w14:paraId="7D196A19" w14:textId="77777777" w:rsidR="007F349E" w:rsidRDefault="007F349E" w:rsidP="00E54BB0">
      <w:pPr>
        <w:pStyle w:val="corpsdedcision"/>
        <w:tabs>
          <w:tab w:val="clear" w:pos="360"/>
          <w:tab w:val="num" w:pos="720"/>
        </w:tabs>
        <w:spacing w:after="240"/>
      </w:pPr>
      <w:r>
        <w:lastRenderedPageBreak/>
        <w:t>L’association accréditée représente :</w:t>
      </w:r>
    </w:p>
    <w:p w14:paraId="53083BAA" w14:textId="77777777" w:rsidR="007F349E" w:rsidRPr="007443F2" w:rsidRDefault="007F349E" w:rsidP="007F349E">
      <w:pPr>
        <w:pStyle w:val="Paragraphe"/>
        <w:numPr>
          <w:ilvl w:val="0"/>
          <w:numId w:val="0"/>
        </w:numPr>
        <w:tabs>
          <w:tab w:val="left" w:pos="708"/>
        </w:tabs>
        <w:spacing w:after="360"/>
        <w:ind w:left="709" w:right="714"/>
        <w:jc w:val="left"/>
        <w:rPr>
          <w:b/>
          <w:sz w:val="20"/>
        </w:rPr>
      </w:pPr>
      <w:r w:rsidRPr="007443F2">
        <w:rPr>
          <w:b/>
          <w:sz w:val="20"/>
        </w:rPr>
        <w:t>« </w:t>
      </w:r>
      <w:r w:rsidR="00E54BB0" w:rsidRPr="00E54BB0">
        <w:rPr>
          <w:b/>
          <w:sz w:val="20"/>
        </w:rPr>
        <w:t>Toutes les infirmières et tous les infirmiers ainsi que toutes les candidates et tous les candidats admissibles à l'exercice de la profession d'infirmière, salarié(e)s au sens du Code du travail et oeuvrant pour le conseil Cri de la santé et des services sociaux de la Baie James.</w:t>
      </w:r>
      <w:r w:rsidRPr="007443F2">
        <w:rPr>
          <w:b/>
          <w:sz w:val="20"/>
        </w:rPr>
        <w:t> »</w:t>
      </w:r>
    </w:p>
    <w:p w14:paraId="7DE5C8E3" w14:textId="77777777" w:rsidR="007F349E" w:rsidRPr="005B4D79" w:rsidRDefault="00E54BB0" w:rsidP="007F349E">
      <w:pPr>
        <w:pStyle w:val="corpsdedcision"/>
        <w:numPr>
          <w:ilvl w:val="0"/>
          <w:numId w:val="7"/>
        </w:numPr>
        <w:tabs>
          <w:tab w:val="clear" w:pos="360"/>
          <w:tab w:val="num" w:pos="720"/>
        </w:tabs>
        <w:rPr>
          <w:lang w:val="fr-FR" w:eastAsia="fr-FR"/>
        </w:rPr>
      </w:pPr>
      <w:r>
        <w:rPr>
          <w:lang w:eastAsia="fr-FR"/>
        </w:rPr>
        <w:t>Le 5 avril</w:t>
      </w:r>
      <w:r w:rsidR="007F349E">
        <w:rPr>
          <w:lang w:eastAsia="fr-FR"/>
        </w:rPr>
        <w:t xml:space="preserve"> 2023, l’association accréditée transmet au Tribunal, pour approbation, une liste prévoyant les services essentiels à maintenir en cas de grève</w:t>
      </w:r>
      <w:r w:rsidR="007F349E">
        <w:rPr>
          <w:rStyle w:val="Appelnotedebasdep"/>
          <w:lang w:eastAsia="fr-FR"/>
        </w:rPr>
        <w:footnoteReference w:id="2"/>
      </w:r>
      <w:r w:rsidR="007F349E">
        <w:rPr>
          <w:lang w:eastAsia="fr-FR"/>
        </w:rPr>
        <w:t xml:space="preserve">. </w:t>
      </w:r>
      <w:r w:rsidR="007F349E">
        <w:t>Le Tribunal a permis aux parties de lui faire part de leurs observations, comme prévu aux</w:t>
      </w:r>
      <w:r w:rsidR="007F349E" w:rsidRPr="000D489F">
        <w:t xml:space="preserve"> </w:t>
      </w:r>
      <w:r w:rsidR="007F349E" w:rsidRPr="000D489F">
        <w:rPr>
          <w:i/>
        </w:rPr>
        <w:t>Exigences du Tribunal relatives à l’évaluation des services essentiels à maintenir en cas de grève dans un établissement et à la transmission des avis de grèv</w:t>
      </w:r>
      <w:r w:rsidR="007F349E">
        <w:rPr>
          <w:i/>
        </w:rPr>
        <w:t>e</w:t>
      </w:r>
      <w:r w:rsidR="007F349E" w:rsidRPr="00FD2885">
        <w:rPr>
          <w:rStyle w:val="Appelnotedebasdep"/>
        </w:rPr>
        <w:footnoteReference w:id="3"/>
      </w:r>
      <w:r w:rsidR="007F349E">
        <w:t>.</w:t>
      </w:r>
    </w:p>
    <w:p w14:paraId="7358AE63" w14:textId="77777777" w:rsidR="005B4D79" w:rsidRPr="005B4D79" w:rsidRDefault="005B4D79" w:rsidP="005B4D79">
      <w:pPr>
        <w:pStyle w:val="corpsdedcision"/>
        <w:tabs>
          <w:tab w:val="clear" w:pos="360"/>
        </w:tabs>
        <w:rPr>
          <w:lang w:val="fr-FR"/>
        </w:rPr>
      </w:pPr>
      <w:r w:rsidRPr="008754D9">
        <w:rPr>
          <w:lang w:val="fr-FR" w:eastAsia="fr-FR"/>
        </w:rPr>
        <w:t>La présente décision prend également en compte les demandes d’exceptions ou de particularités locales</w:t>
      </w:r>
      <w:r w:rsidR="0018779F">
        <w:rPr>
          <w:lang w:val="fr-FR" w:eastAsia="fr-FR"/>
        </w:rPr>
        <w:t xml:space="preserve"> pour certaines catégories</w:t>
      </w:r>
      <w:r>
        <w:rPr>
          <w:lang w:val="fr-FR" w:eastAsia="fr-FR"/>
        </w:rPr>
        <w:t>.</w:t>
      </w:r>
    </w:p>
    <w:p w14:paraId="2C270AF8" w14:textId="77777777" w:rsidR="007F349E" w:rsidRDefault="007F349E" w:rsidP="007F349E">
      <w:pPr>
        <w:pStyle w:val="Titre1"/>
        <w:jc w:val="both"/>
      </w:pPr>
      <w:r>
        <w:t>L’analyse</w:t>
      </w:r>
    </w:p>
    <w:p w14:paraId="70DCA16F" w14:textId="77777777" w:rsidR="007F349E" w:rsidRPr="00F300B4" w:rsidRDefault="007F349E" w:rsidP="00E54BB0">
      <w:pPr>
        <w:pStyle w:val="corpsdedcision"/>
        <w:tabs>
          <w:tab w:val="clear" w:pos="360"/>
          <w:tab w:val="num" w:pos="720"/>
        </w:tabs>
        <w:spacing w:after="240"/>
        <w:rPr>
          <w:lang w:eastAsia="fr-FR"/>
        </w:rPr>
      </w:pPr>
      <w:r w:rsidRPr="00F300B4">
        <w:rPr>
          <w:lang w:eastAsia="fr-FR"/>
        </w:rPr>
        <w:t>Conformément aux articles 111.10.4 et 111.10.5 du Code, il appartient au Tribunal de procéder à l’évaluation de la suffisance des services essentiels à l’aide des critères énoncés aux articles 111.10 et 111.10.1 du Code lesquels prévoient :</w:t>
      </w:r>
    </w:p>
    <w:p w14:paraId="5B2A1B41"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Le maintien des services dont l’interruption peut avoir pour effet de mettre en danger l</w:t>
      </w:r>
      <w:r>
        <w:rPr>
          <w:szCs w:val="24"/>
          <w:lang w:eastAsia="fr-FR"/>
        </w:rPr>
        <w:t>a santé ou la sécurité publique;</w:t>
      </w:r>
    </w:p>
    <w:p w14:paraId="7964773C"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La répartition des services essentiels par unité de soins et cat</w:t>
      </w:r>
      <w:r>
        <w:rPr>
          <w:szCs w:val="24"/>
          <w:lang w:eastAsia="fr-FR"/>
        </w:rPr>
        <w:t>égories de soins ou de services;</w:t>
      </w:r>
    </w:p>
    <w:p w14:paraId="1E3F24D9" w14:textId="77777777" w:rsidR="007F349E" w:rsidRPr="00F300B4" w:rsidRDefault="007F349E" w:rsidP="007F349E">
      <w:pPr>
        <w:numPr>
          <w:ilvl w:val="1"/>
          <w:numId w:val="4"/>
        </w:numPr>
        <w:tabs>
          <w:tab w:val="clear" w:pos="792"/>
        </w:tabs>
        <w:spacing w:after="240"/>
        <w:ind w:left="1134"/>
        <w:jc w:val="both"/>
        <w:rPr>
          <w:szCs w:val="24"/>
          <w:lang w:eastAsia="fr-FR"/>
        </w:rPr>
      </w:pPr>
      <w:r w:rsidRPr="00F300B4">
        <w:rPr>
          <w:szCs w:val="24"/>
          <w:lang w:eastAsia="fr-FR"/>
        </w:rPr>
        <w:t>Le fonctionnement normal des unités de soins intensifs et des u</w:t>
      </w:r>
      <w:r>
        <w:rPr>
          <w:szCs w:val="24"/>
          <w:lang w:eastAsia="fr-FR"/>
        </w:rPr>
        <w:t>nités d’urgence, le cas échéant;</w:t>
      </w:r>
    </w:p>
    <w:p w14:paraId="7775499B" w14:textId="77777777" w:rsidR="007F349E" w:rsidRPr="00643FBB" w:rsidRDefault="007F349E" w:rsidP="007F349E">
      <w:pPr>
        <w:numPr>
          <w:ilvl w:val="1"/>
          <w:numId w:val="4"/>
        </w:numPr>
        <w:tabs>
          <w:tab w:val="clear" w:pos="792"/>
        </w:tabs>
        <w:spacing w:after="360" w:line="360" w:lineRule="auto"/>
        <w:ind w:left="1134" w:hanging="431"/>
        <w:jc w:val="both"/>
        <w:rPr>
          <w:szCs w:val="24"/>
          <w:lang w:eastAsia="fr-FR"/>
        </w:rPr>
      </w:pPr>
      <w:r w:rsidRPr="00F300B4">
        <w:t>Le libre accès d’une personne aux services de l’établissement.</w:t>
      </w:r>
    </w:p>
    <w:p w14:paraId="6995C906" w14:textId="77777777" w:rsidR="007F349E" w:rsidRDefault="007F349E" w:rsidP="007F349E">
      <w:pPr>
        <w:pStyle w:val="corpsdedcision"/>
        <w:tabs>
          <w:tab w:val="clear" w:pos="360"/>
          <w:tab w:val="num" w:pos="720"/>
        </w:tabs>
        <w:rPr>
          <w:lang w:eastAsia="fr-FR"/>
        </w:rPr>
      </w:pPr>
      <w:r w:rsidRPr="00643FBB">
        <w:rPr>
          <w:lang w:eastAsia="fr-FR"/>
        </w:rPr>
        <w:t>Lorsque le Tribunal juge qu’une liste n’est pas conforme</w:t>
      </w:r>
      <w:r>
        <w:rPr>
          <w:lang w:eastAsia="fr-FR"/>
        </w:rPr>
        <w:t xml:space="preserve"> à ces critères,</w:t>
      </w:r>
      <w:r w:rsidRPr="00643FBB">
        <w:rPr>
          <w:lang w:eastAsia="fr-FR"/>
        </w:rPr>
        <w:t xml:space="preserve"> il peut la modifier avant de l’approuver ou encore faire des recommandations aux parties en vue de sa modification.</w:t>
      </w:r>
      <w:r>
        <w:rPr>
          <w:lang w:eastAsia="fr-FR"/>
        </w:rPr>
        <w:t xml:space="preserve"> </w:t>
      </w:r>
    </w:p>
    <w:p w14:paraId="324DE5FD" w14:textId="77777777" w:rsidR="007F349E" w:rsidRPr="001039A2" w:rsidRDefault="007F349E" w:rsidP="00E54BB0">
      <w:pPr>
        <w:pStyle w:val="corpsdedcision"/>
        <w:tabs>
          <w:tab w:val="clear" w:pos="360"/>
          <w:tab w:val="num" w:pos="720"/>
        </w:tabs>
        <w:spacing w:after="240"/>
      </w:pPr>
      <w:r w:rsidRPr="001039A2">
        <w:lastRenderedPageBreak/>
        <w:t xml:space="preserve">Dans l’arrêt </w:t>
      </w:r>
      <w:r w:rsidRPr="001039A2">
        <w:rPr>
          <w:i/>
        </w:rPr>
        <w:t>Saskatchewan</w:t>
      </w:r>
      <w:r>
        <w:rPr>
          <w:i/>
        </w:rPr>
        <w:t xml:space="preserve"> </w:t>
      </w:r>
      <w:r w:rsidRPr="00B65049">
        <w:rPr>
          <w:i/>
        </w:rPr>
        <w:t>Federation of Labour</w:t>
      </w:r>
      <w:r w:rsidRPr="00B65049">
        <w:t xml:space="preserve"> c. </w:t>
      </w:r>
      <w:r w:rsidRPr="00B65049">
        <w:rPr>
          <w:i/>
        </w:rPr>
        <w:t>Saskatchewan</w:t>
      </w:r>
      <w:r w:rsidRPr="001039A2">
        <w:rPr>
          <w:vertAlign w:val="superscript"/>
        </w:rPr>
        <w:footnoteReference w:id="4"/>
      </w:r>
      <w:r w:rsidRPr="001039A2">
        <w:rPr>
          <w:i/>
        </w:rPr>
        <w:t>,</w:t>
      </w:r>
      <w:r w:rsidRPr="001039A2">
        <w:t xml:space="preserve"> la Cour suprême reprend la définition des services essentiels énoncée par le juge Dickson dans le </w:t>
      </w:r>
      <w:r w:rsidRPr="006576BD">
        <w:rPr>
          <w:i/>
        </w:rPr>
        <w:t>Renvoi relatif à la Public Service Employee Relations Act (Alb.)</w:t>
      </w:r>
      <w:r w:rsidRPr="001039A2">
        <w:rPr>
          <w:rStyle w:val="Appelnotedebasdep"/>
        </w:rPr>
        <w:footnoteReference w:id="5"/>
      </w:r>
      <w:r w:rsidRPr="001039A2">
        <w:t xml:space="preserve">. Selon la Cour, </w:t>
      </w:r>
      <w:r>
        <w:t xml:space="preserve">il s’agit d’un service dont l’interruption menace de causer un préjudice grave au public en général ou à une partie de la population, en mettant en péril leur vie, leur sécurité ou leur santé. </w:t>
      </w:r>
      <w:r w:rsidRPr="0079451E">
        <w:t>Cette notion doit être interprétée restrictivement.</w:t>
      </w:r>
      <w:r w:rsidRPr="001039A2">
        <w:t xml:space="preserve"> </w:t>
      </w:r>
      <w:r>
        <w:t>Ainsi, l</w:t>
      </w:r>
      <w:r w:rsidRPr="001039A2">
        <w:t xml:space="preserve">e fait que l’arrêt de travail cause un inconvénient aux citoyens est insuffisant </w:t>
      </w:r>
      <w:r>
        <w:t xml:space="preserve">pour que </w:t>
      </w:r>
      <w:r w:rsidRPr="001039A2">
        <w:t>la santé ou la sécurité publique soit mise en péril</w:t>
      </w:r>
      <w:r w:rsidRPr="001039A2">
        <w:rPr>
          <w:i/>
        </w:rPr>
        <w:t> </w:t>
      </w:r>
      <w:r w:rsidRPr="001039A2">
        <w:t>:</w:t>
      </w:r>
    </w:p>
    <w:p w14:paraId="717CE995" w14:textId="77777777" w:rsidR="007F349E" w:rsidRDefault="00F61BF5" w:rsidP="007F349E">
      <w:pPr>
        <w:pStyle w:val="citation"/>
        <w:spacing w:after="120"/>
      </w:pPr>
      <w:r>
        <w:t>Il est [..</w:t>
      </w:r>
      <w:r w:rsidR="007F349E" w:rsidRPr="001039A2">
        <w:t xml:space="preserve">.] nécessaire de définir les « services essentiels » d’une manière qui soit conforme aux normes justificatrices énoncées à l’article premier. La logique de l’article premier, dans les présentes circonstances, exige qu’un service essentiel soit </w:t>
      </w:r>
      <w:r w:rsidR="007F349E" w:rsidRPr="001039A2">
        <w:rPr>
          <w:u w:val="single"/>
        </w:rPr>
        <w:t>un service dont l’interruption menacerait de causer un préjudice grave au public en général ou à une partie de la population</w:t>
      </w:r>
      <w:r w:rsidR="007F349E" w:rsidRPr="001039A2">
        <w:t xml:space="preserve">. Dans le contexte d’un argument relatif à un préjudice non économique, je conclus que les décisions du Comité de la liberté syndicale du B.I.T. [Bureau international du Travail] sont utiles et convaincantes. Ces décisions ont toujours défini un service essentiel comme un </w:t>
      </w:r>
      <w:r w:rsidR="007F349E" w:rsidRPr="001039A2">
        <w:rPr>
          <w:u w:val="single"/>
        </w:rPr>
        <w:t>service « dont l’interruption pourrait mettre en péril la vie, la sécurité ou la santé de la personne dans une partie ou dans la totalité de la population »</w:t>
      </w:r>
      <w:r w:rsidR="007F349E">
        <w:rPr>
          <w:u w:val="single"/>
        </w:rPr>
        <w:t>.</w:t>
      </w:r>
      <w:r w:rsidR="007F349E" w:rsidRPr="001039A2">
        <w:t xml:space="preserve"> À mon avis, et sans tenter d’en donner une liste exhaustive, les personnes essentielles au maintien et à l’application de la primauté du droit et à la sécurité nationale seraient aussi incluses dans le champ des services essentiels. </w:t>
      </w:r>
      <w:r w:rsidR="007F349E" w:rsidRPr="00444B79">
        <w:rPr>
          <w:i/>
          <w:u w:val="single"/>
        </w:rPr>
        <w:t>Le simple inconvénient subi par des membres du public ne constitue pas un motif du ressort des services essentiels justifiant l’abrogation du droit de grève.</w:t>
      </w:r>
      <w:r w:rsidR="007F349E" w:rsidRPr="001039A2">
        <w:t xml:space="preserve"> [p. 374-375.]</w:t>
      </w:r>
    </w:p>
    <w:p w14:paraId="6019EEB1" w14:textId="77777777" w:rsidR="007F349E" w:rsidRPr="00E54BB0" w:rsidRDefault="007F349E" w:rsidP="00E54BB0">
      <w:pPr>
        <w:pStyle w:val="citation"/>
        <w:spacing w:after="360"/>
        <w:rPr>
          <w:sz w:val="24"/>
          <w:szCs w:val="24"/>
        </w:rPr>
      </w:pPr>
      <w:r w:rsidRPr="00E30A83">
        <w:rPr>
          <w:rFonts w:cs="Arial"/>
          <w:sz w:val="24"/>
          <w:szCs w:val="24"/>
        </w:rPr>
        <w:t>[Note</w:t>
      </w:r>
      <w:r>
        <w:rPr>
          <w:rFonts w:cs="Arial"/>
          <w:sz w:val="24"/>
          <w:szCs w:val="24"/>
        </w:rPr>
        <w:t>s</w:t>
      </w:r>
      <w:r w:rsidRPr="00E30A83">
        <w:rPr>
          <w:rFonts w:cs="Arial"/>
          <w:sz w:val="24"/>
          <w:szCs w:val="24"/>
        </w:rPr>
        <w:t xml:space="preserve"> omis</w:t>
      </w:r>
      <w:r>
        <w:rPr>
          <w:rFonts w:cs="Arial"/>
          <w:sz w:val="24"/>
          <w:szCs w:val="24"/>
        </w:rPr>
        <w:t>es</w:t>
      </w:r>
      <w:r w:rsidRPr="00E30A83">
        <w:rPr>
          <w:rFonts w:cs="Arial"/>
          <w:sz w:val="24"/>
          <w:szCs w:val="24"/>
        </w:rPr>
        <w:t>]</w:t>
      </w:r>
    </w:p>
    <w:p w14:paraId="5DE6D5FD" w14:textId="77777777" w:rsidR="007F349E" w:rsidRPr="001039A2" w:rsidRDefault="007F349E" w:rsidP="007F349E">
      <w:pPr>
        <w:pStyle w:val="corpsdedcision"/>
        <w:tabs>
          <w:tab w:val="clear" w:pos="360"/>
          <w:tab w:val="num" w:pos="720"/>
        </w:tabs>
        <w:rPr>
          <w:lang w:eastAsia="fr-FR"/>
        </w:rPr>
      </w:pPr>
      <w:r>
        <w:rPr>
          <w:lang w:eastAsia="fr-FR"/>
        </w:rPr>
        <w:t>S</w:t>
      </w:r>
      <w:r w:rsidRPr="001039A2">
        <w:rPr>
          <w:lang w:eastAsia="fr-FR"/>
        </w:rPr>
        <w:t xml:space="preserve">i le Tribunal doit protéger la santé ou la sécurité de la population, il a aussi pour mission de préserver la liberté d’association des </w:t>
      </w:r>
      <w:r>
        <w:rPr>
          <w:lang w:eastAsia="fr-FR"/>
        </w:rPr>
        <w:t xml:space="preserve">personnes </w:t>
      </w:r>
      <w:r w:rsidRPr="001039A2">
        <w:rPr>
          <w:lang w:eastAsia="fr-FR"/>
        </w:rPr>
        <w:t>salarié</w:t>
      </w:r>
      <w:r>
        <w:rPr>
          <w:lang w:eastAsia="fr-FR"/>
        </w:rPr>
        <w:t>e</w:t>
      </w:r>
      <w:r w:rsidRPr="001039A2">
        <w:rPr>
          <w:lang w:eastAsia="fr-FR"/>
        </w:rPr>
        <w:t>s et leur droit de pouvoir exercer la grève de façon utile</w:t>
      </w:r>
      <w:r w:rsidRPr="00E07D5C">
        <w:rPr>
          <w:vertAlign w:val="superscript"/>
          <w:lang w:eastAsia="fr-FR"/>
        </w:rPr>
        <w:footnoteReference w:id="6"/>
      </w:r>
      <w:r w:rsidRPr="0003493F">
        <w:rPr>
          <w:lang w:eastAsia="fr-FR"/>
        </w:rPr>
        <w:t>.</w:t>
      </w:r>
    </w:p>
    <w:p w14:paraId="7BAC3501" w14:textId="77777777" w:rsidR="007F349E" w:rsidRPr="001039A2" w:rsidRDefault="007F349E" w:rsidP="007F349E">
      <w:pPr>
        <w:pStyle w:val="corpsdedcision"/>
        <w:tabs>
          <w:tab w:val="clear" w:pos="360"/>
          <w:tab w:val="num" w:pos="720"/>
        </w:tabs>
      </w:pPr>
      <w:r>
        <w:rPr>
          <w:lang w:eastAsia="fr-FR"/>
        </w:rPr>
        <w:t>L</w:t>
      </w:r>
      <w:r w:rsidRPr="001039A2">
        <w:rPr>
          <w:lang w:eastAsia="fr-FR"/>
        </w:rPr>
        <w:t xml:space="preserve">e maintien des services essentiels constitue une </w:t>
      </w:r>
      <w:r>
        <w:rPr>
          <w:lang w:eastAsia="fr-FR"/>
        </w:rPr>
        <w:t xml:space="preserve">restriction </w:t>
      </w:r>
      <w:r w:rsidRPr="001039A2">
        <w:rPr>
          <w:lang w:eastAsia="fr-FR"/>
        </w:rPr>
        <w:t xml:space="preserve">au droit de grève qui </w:t>
      </w:r>
      <w:r>
        <w:rPr>
          <w:lang w:eastAsia="fr-FR"/>
        </w:rPr>
        <w:t xml:space="preserve">ne peut se justifier constitutionnellement que si elle porte </w:t>
      </w:r>
      <w:r w:rsidRPr="0062688C">
        <w:rPr>
          <w:lang w:eastAsia="fr-FR"/>
        </w:rPr>
        <w:t>atteinte</w:t>
      </w:r>
      <w:r>
        <w:rPr>
          <w:lang w:eastAsia="fr-FR"/>
        </w:rPr>
        <w:t xml:space="preserve"> le moins possible à ce droit</w:t>
      </w:r>
      <w:r w:rsidRPr="00E07D5C">
        <w:rPr>
          <w:vertAlign w:val="superscript"/>
          <w:lang w:eastAsia="fr-FR"/>
        </w:rPr>
        <w:footnoteReference w:id="7"/>
      </w:r>
      <w:r>
        <w:rPr>
          <w:lang w:eastAsia="fr-FR"/>
        </w:rPr>
        <w:t>. Ainsi, les services essentiels doivent se définir en fonction d’un</w:t>
      </w:r>
      <w:r w:rsidRPr="00A045BA">
        <w:rPr>
          <w:lang w:eastAsia="fr-FR"/>
        </w:rPr>
        <w:t xml:space="preserve"> danger </w:t>
      </w:r>
      <w:r>
        <w:rPr>
          <w:lang w:eastAsia="fr-FR"/>
        </w:rPr>
        <w:t>réel, d’une « menace évidente et imminente » pour la santé ou la sécurité publique</w:t>
      </w:r>
      <w:r w:rsidRPr="00E07D5C">
        <w:rPr>
          <w:vertAlign w:val="superscript"/>
          <w:lang w:eastAsia="fr-FR"/>
        </w:rPr>
        <w:footnoteReference w:id="8"/>
      </w:r>
      <w:r w:rsidRPr="00A045BA">
        <w:rPr>
          <w:lang w:eastAsia="fr-FR"/>
        </w:rPr>
        <w:t>.</w:t>
      </w:r>
      <w:r>
        <w:rPr>
          <w:lang w:eastAsia="fr-FR"/>
        </w:rPr>
        <w:t xml:space="preserve"> </w:t>
      </w:r>
      <w:r w:rsidRPr="00A045BA">
        <w:rPr>
          <w:lang w:eastAsia="fr-FR"/>
        </w:rPr>
        <w:t>Les craintes ou appréhensions ne peuvent suffire à neutraliser ou amoindrir le droit de grève</w:t>
      </w:r>
      <w:r>
        <w:rPr>
          <w:rStyle w:val="Appelnotedebasdep"/>
        </w:rPr>
        <w:footnoteReference w:id="9"/>
      </w:r>
      <w:r w:rsidRPr="00A045BA">
        <w:t>.</w:t>
      </w:r>
    </w:p>
    <w:p w14:paraId="187A6F5C" w14:textId="77777777" w:rsidR="007F349E" w:rsidRPr="00E97676" w:rsidRDefault="007F349E" w:rsidP="007F349E">
      <w:pPr>
        <w:pStyle w:val="corpsdedcision"/>
        <w:tabs>
          <w:tab w:val="clear" w:pos="360"/>
          <w:tab w:val="num" w:pos="720"/>
        </w:tabs>
        <w:rPr>
          <w:lang w:eastAsia="fr-FR"/>
        </w:rPr>
      </w:pPr>
      <w:r w:rsidRPr="00E07D5C">
        <w:rPr>
          <w:lang w:eastAsia="fr-FR"/>
        </w:rPr>
        <w:t xml:space="preserve">Rappelons qu’à défaut d’entente, c’est la liste soumise par l’association accréditée qui doit être évaluée. </w:t>
      </w:r>
    </w:p>
    <w:p w14:paraId="2C0EE9F9" w14:textId="77777777" w:rsidR="007F349E" w:rsidRDefault="007F349E" w:rsidP="007F349E">
      <w:pPr>
        <w:pStyle w:val="corpsdedcision"/>
      </w:pPr>
      <w:r>
        <w:lastRenderedPageBreak/>
        <w:t>Bien que les observations des parties soient utiles pour éclairer le Tribunal, son rôle, lorsqu’il siège dans la division des services essentiels,</w:t>
      </w:r>
      <w:r w:rsidRPr="009C4EDE">
        <w:t xml:space="preserve"> n’est pas de trancher un désaccord, mais de protéger le public en </w:t>
      </w:r>
      <w:r>
        <w:t>veillant à ce</w:t>
      </w:r>
      <w:r w:rsidRPr="009C4EDE">
        <w:t xml:space="preserve"> que les services essentiels soient assurés en cas de grève des </w:t>
      </w:r>
      <w:r>
        <w:t>personnes salariées</w:t>
      </w:r>
      <w:r>
        <w:rPr>
          <w:rStyle w:val="Appelnotedebasdep"/>
        </w:rPr>
        <w:footnoteReference w:id="10"/>
      </w:r>
      <w:r>
        <w:t>.</w:t>
      </w:r>
      <w:r w:rsidRPr="008C05EA">
        <w:t xml:space="preserve"> </w:t>
      </w:r>
    </w:p>
    <w:p w14:paraId="5332CF38" w14:textId="77777777" w:rsidR="007F349E" w:rsidRDefault="007F349E" w:rsidP="007F349E">
      <w:pPr>
        <w:pStyle w:val="corpsdedcision"/>
        <w:tabs>
          <w:tab w:val="clear" w:pos="360"/>
        </w:tabs>
      </w:pPr>
      <w:r>
        <w:t xml:space="preserve">Il appartient au Tribunal d’interpréter et d’appliquer la notion de services essentiels. Il a développé une connaissance spécialisée en la matière qui lui permet de se livrer à un exercice de cohérence entre les niveaux de services prévus pour les divers établissements, pour les unités de </w:t>
      </w:r>
      <w:r w:rsidRPr="004A030F">
        <w:t xml:space="preserve">soins, catégories de soins ou de services d’une même liste ainsi que pour les différentes catégories de personnel définies par la </w:t>
      </w:r>
      <w:r w:rsidRPr="004A030F">
        <w:rPr>
          <w:i/>
        </w:rPr>
        <w:t>Loi concernant les unités de négociation dans le secteur des affaires sociales</w:t>
      </w:r>
      <w:r>
        <w:rPr>
          <w:rStyle w:val="Appelnotedebasdep"/>
        </w:rPr>
        <w:footnoteReference w:id="11"/>
      </w:r>
      <w:r>
        <w:t>.</w:t>
      </w:r>
    </w:p>
    <w:p w14:paraId="5F448869" w14:textId="77777777" w:rsidR="00E54BB0" w:rsidRPr="008754D9" w:rsidRDefault="00E54BB0" w:rsidP="00F67403">
      <w:pPr>
        <w:pStyle w:val="corpsdedcision"/>
        <w:tabs>
          <w:tab w:val="clear" w:pos="360"/>
        </w:tabs>
        <w:rPr>
          <w:lang w:val="fr-FR"/>
        </w:rPr>
      </w:pPr>
      <w:r>
        <w:t>En l’occurrence, l</w:t>
      </w:r>
      <w:r w:rsidRPr="00004A09">
        <w:t>e Tribunal considère que le maintien des services convenu par entente ou</w:t>
      </w:r>
      <w:r>
        <w:t>, à défaut, celui</w:t>
      </w:r>
      <w:r w:rsidRPr="00004A09">
        <w:t xml:space="preserve"> proposé par l’association accréditée est suffisant pour éviter de mettre en danger la santé ou la sécurité publique.</w:t>
      </w:r>
    </w:p>
    <w:p w14:paraId="633201A7" w14:textId="77777777" w:rsidR="00E54BB0" w:rsidRDefault="00E54BB0" w:rsidP="00E54BB0">
      <w:pPr>
        <w:pStyle w:val="corpsdedcision"/>
        <w:tabs>
          <w:tab w:val="clear" w:pos="360"/>
          <w:tab w:val="num" w:pos="720"/>
        </w:tabs>
        <w:rPr>
          <w:lang w:eastAsia="fr-FR"/>
        </w:rPr>
      </w:pPr>
      <w:r w:rsidRPr="00EF76A1">
        <w:rPr>
          <w:rFonts w:eastAsia="Calibri" w:cs="Arial"/>
          <w:bCs/>
          <w:szCs w:val="22"/>
          <w:lang w:eastAsia="en-US"/>
        </w:rPr>
        <w:t xml:space="preserve">Le Tribunal partage l’analyse exposée dans l’affaire </w:t>
      </w:r>
      <w:r w:rsidRPr="00EF76A1">
        <w:rPr>
          <w:rFonts w:eastAsia="Calibri" w:cs="Arial"/>
          <w:bCs/>
          <w:i/>
          <w:szCs w:val="22"/>
          <w:lang w:eastAsia="en-US"/>
        </w:rPr>
        <w:t>FIQ – Syndicat des professionnelles en soins de l’Est-de-l’Île-de-Montréal</w:t>
      </w:r>
      <w:r w:rsidRPr="00EF76A1">
        <w:rPr>
          <w:rFonts w:eastAsia="Calibri" w:cs="Arial"/>
          <w:bCs/>
          <w:szCs w:val="22"/>
          <w:lang w:eastAsia="en-US"/>
        </w:rPr>
        <w:t xml:space="preserve"> et </w:t>
      </w:r>
      <w:r w:rsidRPr="00EF76A1">
        <w:rPr>
          <w:rFonts w:eastAsia="Calibri" w:cs="Arial"/>
          <w:bCs/>
          <w:i/>
          <w:szCs w:val="22"/>
          <w:lang w:eastAsia="en-US"/>
        </w:rPr>
        <w:t>Centre intégré universitaire de santé et de services sociaux de l’Est-de-l’Île-de-Montréal</w:t>
      </w:r>
      <w:r w:rsidRPr="00EF76A1">
        <w:rPr>
          <w:rFonts w:eastAsia="Calibri" w:cs="Arial"/>
          <w:bCs/>
          <w:szCs w:val="22"/>
          <w:vertAlign w:val="superscript"/>
          <w:lang w:eastAsia="en-US"/>
        </w:rPr>
        <w:footnoteReference w:id="12"/>
      </w:r>
      <w:r w:rsidRPr="00EF76A1">
        <w:rPr>
          <w:rFonts w:eastAsia="Calibri" w:cs="Arial"/>
          <w:bCs/>
          <w:szCs w:val="22"/>
          <w:lang w:eastAsia="en-US"/>
        </w:rPr>
        <w:t>.</w:t>
      </w:r>
    </w:p>
    <w:p w14:paraId="107657E3" w14:textId="77777777" w:rsidR="007F349E" w:rsidRPr="001039A2" w:rsidRDefault="007F349E" w:rsidP="00E54BB0">
      <w:pPr>
        <w:pStyle w:val="corpsdedcision"/>
        <w:tabs>
          <w:tab w:val="clear" w:pos="360"/>
          <w:tab w:val="num" w:pos="720"/>
        </w:tabs>
        <w:spacing w:before="240" w:after="240"/>
        <w:rPr>
          <w:lang w:val="fr-FR"/>
        </w:rPr>
      </w:pPr>
      <w:r w:rsidRPr="001039A2">
        <w:rPr>
          <w:lang w:val="fr-FR"/>
        </w:rPr>
        <w:t>L’analyse du Tribunal tient notamment compte des éléments suivants :</w:t>
      </w:r>
    </w:p>
    <w:p w14:paraId="27164861" w14:textId="77777777" w:rsidR="007F349E" w:rsidRPr="006843E0" w:rsidRDefault="007F349E" w:rsidP="00E54BB0">
      <w:pPr>
        <w:pStyle w:val="corpsdedcision"/>
        <w:numPr>
          <w:ilvl w:val="0"/>
          <w:numId w:val="5"/>
        </w:numPr>
        <w:tabs>
          <w:tab w:val="clear" w:pos="720"/>
        </w:tabs>
        <w:spacing w:after="240"/>
        <w:ind w:left="1066" w:hanging="357"/>
      </w:pPr>
      <w:r w:rsidRPr="006843E0">
        <w:t>L</w:t>
      </w:r>
      <w:r w:rsidRPr="001039A2">
        <w:t>es fonctions occupées par les personnes salariées en grève dans l’unité de soins ou la catégorie de soins ou de services où ils les exercent</w:t>
      </w:r>
      <w:r>
        <w:t>;</w:t>
      </w:r>
    </w:p>
    <w:p w14:paraId="1CE36B76" w14:textId="77777777" w:rsidR="007F349E" w:rsidRDefault="007F349E" w:rsidP="00E54BB0">
      <w:pPr>
        <w:pStyle w:val="corpsdedcision"/>
        <w:numPr>
          <w:ilvl w:val="0"/>
          <w:numId w:val="5"/>
        </w:numPr>
        <w:tabs>
          <w:tab w:val="clear" w:pos="720"/>
        </w:tabs>
        <w:spacing w:after="240"/>
        <w:ind w:left="1066" w:hanging="357"/>
      </w:pPr>
      <w:r w:rsidRPr="006843E0">
        <w:t>Les niveaux de services maintenus par le passé et l’absence de danger pour la santé ou la sécurité publique lors des grèves ayant eu lieu avec ces niveaux;</w:t>
      </w:r>
    </w:p>
    <w:p w14:paraId="5B9E4683" w14:textId="77777777" w:rsidR="00E54BB0" w:rsidRDefault="00E54BB0" w:rsidP="00E54BB0">
      <w:pPr>
        <w:pStyle w:val="corpsdedcision"/>
        <w:numPr>
          <w:ilvl w:val="0"/>
          <w:numId w:val="5"/>
        </w:numPr>
        <w:tabs>
          <w:tab w:val="num" w:pos="720"/>
        </w:tabs>
        <w:spacing w:after="240"/>
        <w:rPr>
          <w:lang w:val="fr-FR"/>
        </w:rPr>
      </w:pPr>
      <w:r w:rsidRPr="001039A2">
        <w:rPr>
          <w:lang w:val="fr-FR"/>
        </w:rPr>
        <w:t>La vulnérabilité et la situation de dépendance des usagers </w:t>
      </w:r>
      <w:r w:rsidRPr="001039A2">
        <w:t xml:space="preserve">à l'égard des </w:t>
      </w:r>
      <w:r>
        <w:t xml:space="preserve">soins et </w:t>
      </w:r>
      <w:r w:rsidRPr="001039A2">
        <w:t>services qui leur sont offerts</w:t>
      </w:r>
      <w:r>
        <w:rPr>
          <w:rStyle w:val="Appelnotedebasdep"/>
        </w:rPr>
        <w:footnoteReference w:id="13"/>
      </w:r>
      <w:r w:rsidRPr="001039A2">
        <w:rPr>
          <w:lang w:val="fr-FR"/>
        </w:rPr>
        <w:t>;</w:t>
      </w:r>
    </w:p>
    <w:p w14:paraId="6203F5B7" w14:textId="77777777" w:rsidR="00E54BB0" w:rsidRPr="001039A2" w:rsidRDefault="00E54BB0" w:rsidP="00E54BB0">
      <w:pPr>
        <w:pStyle w:val="corpsdedcision"/>
        <w:numPr>
          <w:ilvl w:val="0"/>
          <w:numId w:val="5"/>
        </w:numPr>
        <w:tabs>
          <w:tab w:val="clear" w:pos="720"/>
        </w:tabs>
        <w:spacing w:after="240"/>
        <w:rPr>
          <w:lang w:val="fr-FR"/>
        </w:rPr>
      </w:pPr>
      <w:r w:rsidRPr="001039A2">
        <w:rPr>
          <w:lang w:val="fr-FR"/>
        </w:rPr>
        <w:t>La possibilité de r</w:t>
      </w:r>
      <w:r>
        <w:rPr>
          <w:lang w:val="fr-FR"/>
        </w:rPr>
        <w:t>eporter</w:t>
      </w:r>
      <w:r w:rsidRPr="001039A2">
        <w:rPr>
          <w:lang w:val="fr-FR"/>
        </w:rPr>
        <w:t xml:space="preserve"> certains soins et services sans mettre en danger la santé ou la sécurité publique</w:t>
      </w:r>
      <w:r w:rsidRPr="001039A2">
        <w:rPr>
          <w:rStyle w:val="Appelnotedebasdep"/>
          <w:lang w:val="fr-FR"/>
        </w:rPr>
        <w:footnoteReference w:id="14"/>
      </w:r>
      <w:r w:rsidRPr="001039A2">
        <w:rPr>
          <w:lang w:val="fr-FR"/>
        </w:rPr>
        <w:t>;</w:t>
      </w:r>
    </w:p>
    <w:p w14:paraId="4CF65D6C" w14:textId="77777777" w:rsidR="00E54BB0" w:rsidRPr="00E54BB0" w:rsidRDefault="00E54BB0" w:rsidP="00E54BB0">
      <w:pPr>
        <w:pStyle w:val="corpsdedcision"/>
        <w:numPr>
          <w:ilvl w:val="0"/>
          <w:numId w:val="5"/>
        </w:numPr>
        <w:tabs>
          <w:tab w:val="clear" w:pos="720"/>
        </w:tabs>
        <w:rPr>
          <w:lang w:val="fr-FR"/>
        </w:rPr>
      </w:pPr>
      <w:r w:rsidRPr="003A5BFF">
        <w:rPr>
          <w:lang w:val="fr-FR"/>
        </w:rPr>
        <w:lastRenderedPageBreak/>
        <w:t>Les particularités organisationnelles découlant des distances et des possibilités de déplacement</w:t>
      </w:r>
      <w:r>
        <w:rPr>
          <w:rStyle w:val="Appelnotedebasdep"/>
          <w:lang w:val="fr-FR"/>
        </w:rPr>
        <w:footnoteReference w:id="15"/>
      </w:r>
      <w:r>
        <w:rPr>
          <w:lang w:val="fr-FR"/>
        </w:rPr>
        <w:t>.</w:t>
      </w:r>
    </w:p>
    <w:p w14:paraId="226AE050" w14:textId="77777777" w:rsidR="00E54BB0" w:rsidRDefault="00E54BB0" w:rsidP="00F67403">
      <w:pPr>
        <w:pStyle w:val="corpsdedcision"/>
        <w:tabs>
          <w:tab w:val="clear" w:pos="360"/>
          <w:tab w:val="num" w:pos="720"/>
        </w:tabs>
        <w:rPr>
          <w:lang w:val="fr-FR"/>
        </w:rPr>
      </w:pPr>
      <w:r w:rsidRPr="00AC17DA">
        <w:rPr>
          <w:lang w:val="fr-FR"/>
        </w:rPr>
        <w:t>Cependant, les réductions de services temporaires et planifiées, par exemple pendant la période estivale, ne permettent pas d’identifier le niveau de services suffisant pour éviter de mettre en danger la santé ou la sécurité publique lors d’une grève dont la durée et le moment de survenance sont indéterminés</w:t>
      </w:r>
      <w:r w:rsidRPr="005878AD">
        <w:rPr>
          <w:rStyle w:val="Appelnotedebasdep"/>
          <w:lang w:val="fr-FR"/>
        </w:rPr>
        <w:footnoteReference w:id="16"/>
      </w:r>
      <w:r w:rsidRPr="00AC17DA">
        <w:rPr>
          <w:lang w:val="fr-FR"/>
        </w:rPr>
        <w:t xml:space="preserve">. </w:t>
      </w:r>
    </w:p>
    <w:p w14:paraId="792C1C00" w14:textId="77777777" w:rsidR="00E54BB0" w:rsidRPr="00E54BB0" w:rsidRDefault="00E54BB0" w:rsidP="00E54BB0">
      <w:pPr>
        <w:pStyle w:val="corpsdedcision"/>
        <w:tabs>
          <w:tab w:val="clear" w:pos="360"/>
        </w:tabs>
      </w:pPr>
      <w:r w:rsidRPr="00EB63FA">
        <w:t xml:space="preserve">Le Tribunal comprend des observations de l’association accréditée que la contribution du personnel d'encadrement s'effectue en surplus des niveaux d'effectifs déterminés pour chacune des unités de soins, catégories de soins ou de service. </w:t>
      </w:r>
      <w:r w:rsidRPr="003B4434">
        <w:t>Puisqu’il ne participe pas au maintien des services essentiels, les dispositions de la liste concernant le personnel d'encadrement sont retirées.</w:t>
      </w:r>
    </w:p>
    <w:p w14:paraId="2C3B1C05" w14:textId="77777777" w:rsidR="007F349E" w:rsidRPr="00F300B4" w:rsidRDefault="007F349E" w:rsidP="00E54BB0">
      <w:pPr>
        <w:pStyle w:val="corpsdedcision"/>
        <w:tabs>
          <w:tab w:val="clear" w:pos="360"/>
          <w:tab w:val="num" w:pos="720"/>
        </w:tabs>
        <w:spacing w:after="240"/>
        <w:rPr>
          <w:lang w:val="fr-FR"/>
        </w:rPr>
      </w:pPr>
      <w:r w:rsidRPr="00F300B4">
        <w:t>De plus, l</w:t>
      </w:r>
      <w:r w:rsidRPr="00F300B4">
        <w:rPr>
          <w:lang w:val="fr-FR"/>
        </w:rPr>
        <w:t xml:space="preserve">e Tribunal précise que les </w:t>
      </w:r>
      <w:r>
        <w:rPr>
          <w:lang w:val="fr-FR"/>
        </w:rPr>
        <w:t>modalités</w:t>
      </w:r>
      <w:r w:rsidRPr="00F300B4">
        <w:rPr>
          <w:lang w:val="fr-FR"/>
        </w:rPr>
        <w:t xml:space="preserve"> suivantes font partie intégrante de la liste : </w:t>
      </w:r>
    </w:p>
    <w:p w14:paraId="72AEB492" w14:textId="77777777" w:rsidR="007F349E" w:rsidRDefault="007F349E" w:rsidP="00E54BB0">
      <w:pPr>
        <w:pStyle w:val="corpsdedcision"/>
        <w:numPr>
          <w:ilvl w:val="0"/>
          <w:numId w:val="5"/>
        </w:numPr>
        <w:tabs>
          <w:tab w:val="clear" w:pos="720"/>
        </w:tabs>
        <w:spacing w:after="240"/>
        <w:ind w:left="1066" w:hanging="357"/>
      </w:pPr>
      <w:r w:rsidRPr="00F300B4">
        <w:t xml:space="preserve">Le temps de grève s’établit en fonction des horaires normaux de travail des </w:t>
      </w:r>
      <w:r>
        <w:t xml:space="preserve">personnes </w:t>
      </w:r>
      <w:r w:rsidRPr="00F300B4">
        <w:t>salarié</w:t>
      </w:r>
      <w:r>
        <w:t>e</w:t>
      </w:r>
      <w:r w:rsidRPr="00F300B4">
        <w:t>s habituellement affecté</w:t>
      </w:r>
      <w:r>
        <w:t>e</w:t>
      </w:r>
      <w:r w:rsidRPr="00F300B4">
        <w:t>s dans chacune des catégories de soins ou de services et dans chacune des unités de soins;</w:t>
      </w:r>
    </w:p>
    <w:p w14:paraId="33522D31" w14:textId="77777777" w:rsidR="007F349E" w:rsidRPr="00F300B4" w:rsidRDefault="007F349E" w:rsidP="00E54BB0">
      <w:pPr>
        <w:pStyle w:val="corpsdedcision"/>
        <w:numPr>
          <w:ilvl w:val="0"/>
          <w:numId w:val="5"/>
        </w:numPr>
        <w:tabs>
          <w:tab w:val="clear" w:pos="720"/>
        </w:tabs>
        <w:spacing w:after="240"/>
        <w:ind w:left="1066" w:hanging="357"/>
      </w:pPr>
      <w:r w:rsidRPr="00F300B4">
        <w:t>Le temps de grève s’exercera à tour de rôle si cela est nécessaire pour ne pas mettre en danger la santé ou la sécurité publique;</w:t>
      </w:r>
    </w:p>
    <w:p w14:paraId="729C76DB" w14:textId="77777777" w:rsidR="007F349E" w:rsidRPr="00F300B4" w:rsidRDefault="007F349E" w:rsidP="00E54BB0">
      <w:pPr>
        <w:pStyle w:val="corpsdedcision"/>
        <w:numPr>
          <w:ilvl w:val="0"/>
          <w:numId w:val="5"/>
        </w:numPr>
        <w:tabs>
          <w:tab w:val="clear" w:pos="720"/>
        </w:tabs>
        <w:spacing w:after="240"/>
        <w:ind w:left="1066" w:hanging="357"/>
      </w:pPr>
      <w:r w:rsidRPr="00F300B4">
        <w:t>Un</w:t>
      </w:r>
      <w:r>
        <w:t xml:space="preserve">e personne salariée </w:t>
      </w:r>
      <w:r w:rsidRPr="00F300B4">
        <w:t>accomplissant seul</w:t>
      </w:r>
      <w:r>
        <w:t>e</w:t>
      </w:r>
      <w:r w:rsidRPr="00F300B4">
        <w:t xml:space="preserve"> les fonctions de son titre d’emploi ne doit pas interrompre la continuité des soins et des services si cela a pour effet de mettre en danger la santé ou la sécurité publique;</w:t>
      </w:r>
    </w:p>
    <w:p w14:paraId="7788A964" w14:textId="77777777" w:rsidR="007F349E" w:rsidRPr="00F300B4" w:rsidRDefault="007F349E" w:rsidP="00E54BB0">
      <w:pPr>
        <w:pStyle w:val="corpsdedcision"/>
        <w:numPr>
          <w:ilvl w:val="0"/>
          <w:numId w:val="5"/>
        </w:numPr>
        <w:tabs>
          <w:tab w:val="clear" w:pos="720"/>
        </w:tabs>
        <w:spacing w:after="240"/>
        <w:ind w:left="1066" w:hanging="357"/>
      </w:pPr>
      <w:r w:rsidRPr="00F300B4">
        <w:t>Le fonctionnement normal des unités de soins intensifs et d’urg</w:t>
      </w:r>
      <w:r>
        <w:t>ence sera assuré, le cas échéant</w:t>
      </w:r>
      <w:r w:rsidRPr="00F300B4">
        <w:t>;</w:t>
      </w:r>
    </w:p>
    <w:p w14:paraId="50D748A7" w14:textId="77777777" w:rsidR="007F349E" w:rsidRPr="00F300B4" w:rsidRDefault="007F349E" w:rsidP="00E54BB0">
      <w:pPr>
        <w:pStyle w:val="corpsdedcision"/>
        <w:numPr>
          <w:ilvl w:val="0"/>
          <w:numId w:val="5"/>
        </w:numPr>
        <w:tabs>
          <w:tab w:val="clear" w:pos="720"/>
        </w:tabs>
        <w:spacing w:after="240"/>
        <w:ind w:left="1066" w:hanging="357"/>
      </w:pPr>
      <w:r w:rsidRPr="00F300B4">
        <w:t>Le libre accès d’une personne aux services de l’établissement sera assuré;</w:t>
      </w:r>
    </w:p>
    <w:p w14:paraId="6E0B1B16" w14:textId="77777777" w:rsidR="007F349E" w:rsidRDefault="007F349E" w:rsidP="007F349E">
      <w:pPr>
        <w:pStyle w:val="corpsdedcision"/>
        <w:numPr>
          <w:ilvl w:val="0"/>
          <w:numId w:val="5"/>
        </w:numPr>
        <w:tabs>
          <w:tab w:val="clear" w:pos="720"/>
        </w:tabs>
      </w:pPr>
      <w:r w:rsidRPr="00F300B4">
        <w:t xml:space="preserve">Afin de voir à l’application des services essentiels, chacune des parties désignera une ou des personnes responsables des communications ainsi que les moyens mis en place pour </w:t>
      </w:r>
      <w:r>
        <w:t xml:space="preserve">les </w:t>
      </w:r>
      <w:r w:rsidRPr="00F300B4">
        <w:t xml:space="preserve">assurer </w:t>
      </w:r>
      <w:r>
        <w:t>celles-ci</w:t>
      </w:r>
      <w:r w:rsidRPr="00F300B4">
        <w:t>.</w:t>
      </w:r>
    </w:p>
    <w:p w14:paraId="3B1B14D4" w14:textId="77777777" w:rsidR="007F349E" w:rsidRPr="00D908EC" w:rsidRDefault="007F349E" w:rsidP="007F349E">
      <w:pPr>
        <w:pStyle w:val="corpsdedcision"/>
        <w:tabs>
          <w:tab w:val="clear" w:pos="360"/>
          <w:tab w:val="num" w:pos="720"/>
        </w:tabs>
      </w:pPr>
      <w:r w:rsidRPr="001235C8">
        <w:lastRenderedPageBreak/>
        <w:t>S’il survient une situation urgente mettant en cause la santé ou la sécurité publique, l’association accréditée fournit sans délai, à la demande de l’employeur, les personnes salariées nécessaires pour y faire face.</w:t>
      </w:r>
    </w:p>
    <w:p w14:paraId="18FAC9FB" w14:textId="77777777" w:rsidR="007F349E" w:rsidRDefault="007F349E" w:rsidP="007F349E">
      <w:pPr>
        <w:pStyle w:val="corpsdedcision"/>
        <w:tabs>
          <w:tab w:val="clear" w:pos="360"/>
          <w:tab w:val="num" w:pos="720"/>
        </w:tabs>
      </w:pPr>
      <w:r w:rsidRPr="00F300B4">
        <w:t>Sur demande de l’une ou l’autre des parties, celles-ci se réuniront pour résoudre tout problème découlant de l’application de la présente. À défaut, l’une ou l’autre des parties avise le Tribunal afin qu’il puisse fournir l’aide nécessaire.</w:t>
      </w:r>
    </w:p>
    <w:p w14:paraId="6823682A" w14:textId="77777777" w:rsidR="007F349E" w:rsidRDefault="007F349E" w:rsidP="007F349E">
      <w:pPr>
        <w:pStyle w:val="corpsdedcision"/>
        <w:tabs>
          <w:tab w:val="clear" w:pos="360"/>
          <w:tab w:val="num" w:pos="720"/>
        </w:tabs>
      </w:pPr>
      <w:r>
        <w:rPr>
          <w:rFonts w:cs="Arial"/>
          <w:color w:val="000000"/>
          <w:szCs w:val="24"/>
        </w:rPr>
        <w:t>Le Tribunal rappelle qu’à moins d’une entente entre les parties, l’employeur ne doit pas modifier les conditions de travail des personnes salariées qui rendent des services essentiels</w:t>
      </w:r>
      <w:r>
        <w:rPr>
          <w:rStyle w:val="Appelnotedebasdep"/>
          <w:rFonts w:cs="Arial"/>
          <w:color w:val="000000"/>
          <w:szCs w:val="24"/>
        </w:rPr>
        <w:footnoteReference w:id="17"/>
      </w:r>
      <w:r>
        <w:rPr>
          <w:rFonts w:cs="Arial"/>
          <w:color w:val="000000"/>
          <w:szCs w:val="24"/>
        </w:rPr>
        <w:t>. Il en est de même pour celles qui travaillent à mettre en œuvre et à coordonner les services essentiels ainsi qu’à veiller à ce qu’ils soient rendus</w:t>
      </w:r>
      <w:r>
        <w:rPr>
          <w:rStyle w:val="Appelnotedebasdep"/>
          <w:rFonts w:cs="Arial"/>
          <w:color w:val="000000"/>
          <w:szCs w:val="24"/>
        </w:rPr>
        <w:footnoteReference w:id="18"/>
      </w:r>
      <w:r>
        <w:rPr>
          <w:rFonts w:cs="Arial"/>
          <w:color w:val="000000"/>
          <w:szCs w:val="24"/>
        </w:rPr>
        <w:t>.</w:t>
      </w:r>
    </w:p>
    <w:p w14:paraId="31600620" w14:textId="77777777" w:rsidR="007F349E" w:rsidRPr="00F300B4" w:rsidRDefault="007F349E" w:rsidP="007F349E">
      <w:pPr>
        <w:pStyle w:val="corpsdedcision"/>
        <w:tabs>
          <w:tab w:val="num" w:pos="720"/>
        </w:tabs>
        <w:spacing w:before="240"/>
      </w:pPr>
      <w:r w:rsidRPr="00F300B4">
        <w:t>La liste approuvée s’applique jusqu’à la signature de la convention collective ou de ce qui en tient lieu et elle ne peut être modifiée sans l’approbation du Tribunal.</w:t>
      </w:r>
    </w:p>
    <w:p w14:paraId="4BD7BE8F" w14:textId="77777777" w:rsidR="007F349E" w:rsidRDefault="007F349E" w:rsidP="00E54BB0">
      <w:pPr>
        <w:pStyle w:val="corpsdedcision"/>
        <w:tabs>
          <w:tab w:val="num" w:pos="720"/>
        </w:tabs>
        <w:spacing w:after="480"/>
      </w:pPr>
      <w:r w:rsidRPr="00F300B4">
        <w:t>Compte tenu des modifications et précisions apportées, le Tribunal conclut que la liste annexée à la présente décision est conforme au Code et que les services essentiels qui y sont prévus sont suffisants pour éviter de mettre en danger la santé ou la sécurité publique.</w:t>
      </w:r>
    </w:p>
    <w:p w14:paraId="2EB651FC" w14:textId="77777777" w:rsidR="007F349E" w:rsidRDefault="007F349E" w:rsidP="007F349E">
      <w:pPr>
        <w:pStyle w:val="Dispositif"/>
      </w:pPr>
      <w:r>
        <w:rPr>
          <w:b/>
        </w:rPr>
        <w:t>PAR CES MOTIFS, LE TRIBUNAL ADMINISTRATIF DU TRAVAIL :</w:t>
      </w:r>
    </w:p>
    <w:p w14:paraId="237408D1" w14:textId="77777777" w:rsidR="007F349E" w:rsidRDefault="007F349E" w:rsidP="007F349E">
      <w:pPr>
        <w:pStyle w:val="ParagConclusion"/>
        <w:keepNext/>
        <w:keepLines/>
        <w:spacing w:before="360" w:after="360"/>
        <w:ind w:left="2449" w:hanging="2449"/>
        <w:jc w:val="both"/>
      </w:pPr>
      <w:bookmarkStart w:id="8" w:name="dispositif"/>
      <w:r w:rsidRPr="009831C8">
        <w:rPr>
          <w:b/>
          <w:bCs/>
        </w:rPr>
        <w:t>DÉCLARE</w:t>
      </w:r>
      <w:r w:rsidRPr="009831C8">
        <w:rPr>
          <w:b/>
          <w:bCs/>
        </w:rPr>
        <w:tab/>
      </w:r>
      <w:r w:rsidRPr="009831C8">
        <w:t xml:space="preserve">que les services essentiels à maintenir pendant une grève sont ceux énumérés à </w:t>
      </w:r>
      <w:r>
        <w:t>la liste</w:t>
      </w:r>
      <w:r w:rsidRPr="009D6B8D">
        <w:t xml:space="preserve"> </w:t>
      </w:r>
      <w:r>
        <w:t>ci-</w:t>
      </w:r>
      <w:r w:rsidRPr="009831C8">
        <w:t>annexée</w:t>
      </w:r>
      <w:r>
        <w:t>, incluant les modifications et les précisions apportées par la présente décision;</w:t>
      </w:r>
    </w:p>
    <w:p w14:paraId="3582EC5A" w14:textId="77777777" w:rsidR="007F349E" w:rsidRPr="009831C8" w:rsidRDefault="007F349E" w:rsidP="007F349E">
      <w:pPr>
        <w:pStyle w:val="ParagConclusion"/>
        <w:spacing w:before="360" w:after="360"/>
        <w:ind w:left="2449" w:hanging="2449"/>
        <w:jc w:val="both"/>
      </w:pPr>
      <w:r w:rsidRPr="009831C8">
        <w:rPr>
          <w:b/>
          <w:bCs/>
        </w:rPr>
        <w:t>DÉCLARE</w:t>
      </w:r>
      <w:r w:rsidRPr="009831C8">
        <w:tab/>
        <w:t>suffisants les services essentiels qui y sont prévus;</w:t>
      </w:r>
    </w:p>
    <w:p w14:paraId="7AB21BE6" w14:textId="77777777" w:rsidR="007F349E" w:rsidRDefault="007F349E" w:rsidP="00F61BF5">
      <w:pPr>
        <w:pStyle w:val="ParagConclusion"/>
        <w:keepNext/>
        <w:keepLines/>
        <w:spacing w:before="360" w:after="1200"/>
        <w:ind w:left="2449" w:hanging="2449"/>
        <w:jc w:val="both"/>
      </w:pPr>
      <w:r w:rsidRPr="009831C8">
        <w:rPr>
          <w:b/>
          <w:bCs/>
        </w:rPr>
        <w:t>RAPPELLE</w:t>
      </w:r>
      <w:r w:rsidRPr="009831C8">
        <w:rPr>
          <w:b/>
          <w:bCs/>
        </w:rPr>
        <w:tab/>
      </w:r>
      <w:r w:rsidRPr="009831C8">
        <w:t xml:space="preserve">que nul ne peut déroger à une </w:t>
      </w:r>
      <w:r>
        <w:t xml:space="preserve">liste </w:t>
      </w:r>
      <w:r w:rsidRPr="009831C8">
        <w:t xml:space="preserve">approuvée par </w:t>
      </w:r>
      <w:r>
        <w:t>le Tribunal</w:t>
      </w:r>
      <w:r w:rsidRPr="009831C8">
        <w:t>.</w:t>
      </w: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7F349E" w14:paraId="2953A97E" w14:textId="77777777" w:rsidTr="0033472E">
        <w:tc>
          <w:tcPr>
            <w:tcW w:w="4795" w:type="dxa"/>
          </w:tcPr>
          <w:p w14:paraId="1DE53347" w14:textId="77777777" w:rsidR="007F349E" w:rsidRDefault="007F349E" w:rsidP="00F61BF5">
            <w:pPr>
              <w:keepNext/>
              <w:keepLines/>
              <w:jc w:val="both"/>
            </w:pPr>
          </w:p>
        </w:tc>
        <w:tc>
          <w:tcPr>
            <w:tcW w:w="4795" w:type="dxa"/>
          </w:tcPr>
          <w:p w14:paraId="7CECF3D8" w14:textId="77777777" w:rsidR="007F349E" w:rsidRDefault="007F349E" w:rsidP="00F61BF5">
            <w:pPr>
              <w:keepNext/>
              <w:keepLines/>
              <w:jc w:val="both"/>
            </w:pPr>
            <w:r>
              <w:t>__________________________________</w:t>
            </w:r>
          </w:p>
        </w:tc>
      </w:tr>
      <w:tr w:rsidR="007F349E" w14:paraId="1FC2A616" w14:textId="77777777" w:rsidTr="0033472E">
        <w:tc>
          <w:tcPr>
            <w:tcW w:w="4795" w:type="dxa"/>
          </w:tcPr>
          <w:p w14:paraId="099A22B7" w14:textId="77777777" w:rsidR="007F349E" w:rsidRDefault="007F349E" w:rsidP="00F61BF5">
            <w:pPr>
              <w:keepNext/>
              <w:keepLines/>
              <w:jc w:val="both"/>
            </w:pPr>
          </w:p>
        </w:tc>
        <w:tc>
          <w:tcPr>
            <w:tcW w:w="4795" w:type="dxa"/>
          </w:tcPr>
          <w:p w14:paraId="79327515" w14:textId="77777777" w:rsidR="007F349E" w:rsidRDefault="00E54BB0" w:rsidP="00F61BF5">
            <w:pPr>
              <w:keepNext/>
              <w:keepLines/>
              <w:jc w:val="both"/>
            </w:pPr>
            <w:r w:rsidRPr="00E54BB0">
              <w:t>Véronique Girard</w:t>
            </w:r>
          </w:p>
        </w:tc>
      </w:tr>
      <w:tr w:rsidR="007F349E" w14:paraId="4E028813" w14:textId="77777777" w:rsidTr="0033472E">
        <w:trPr>
          <w:cantSplit/>
        </w:trPr>
        <w:tc>
          <w:tcPr>
            <w:tcW w:w="9590" w:type="dxa"/>
            <w:gridSpan w:val="2"/>
          </w:tcPr>
          <w:p w14:paraId="096A4C6C" w14:textId="77777777" w:rsidR="007F349E" w:rsidRDefault="007F349E" w:rsidP="00F61BF5">
            <w:pPr>
              <w:keepNext/>
              <w:keepLines/>
              <w:jc w:val="both"/>
            </w:pPr>
          </w:p>
        </w:tc>
      </w:tr>
      <w:tr w:rsidR="007F349E" w14:paraId="5D821C1B" w14:textId="77777777" w:rsidTr="0033472E">
        <w:trPr>
          <w:cantSplit/>
        </w:trPr>
        <w:tc>
          <w:tcPr>
            <w:tcW w:w="9590" w:type="dxa"/>
            <w:gridSpan w:val="2"/>
          </w:tcPr>
          <w:p w14:paraId="522B2D9F" w14:textId="77777777" w:rsidR="007F349E" w:rsidRPr="00C912F9" w:rsidRDefault="007F349E" w:rsidP="0033472E">
            <w:pPr>
              <w:tabs>
                <w:tab w:val="left" w:pos="1592"/>
              </w:tabs>
              <w:jc w:val="both"/>
            </w:pPr>
          </w:p>
        </w:tc>
      </w:tr>
      <w:tr w:rsidR="007F349E" w14:paraId="4FA22468" w14:textId="77777777" w:rsidTr="0033472E">
        <w:trPr>
          <w:cantSplit/>
        </w:trPr>
        <w:tc>
          <w:tcPr>
            <w:tcW w:w="9590" w:type="dxa"/>
            <w:gridSpan w:val="2"/>
          </w:tcPr>
          <w:p w14:paraId="637D0E80" w14:textId="77777777" w:rsidR="007F349E" w:rsidRDefault="007F349E" w:rsidP="0033472E">
            <w:pPr>
              <w:jc w:val="both"/>
            </w:pPr>
          </w:p>
        </w:tc>
      </w:tr>
      <w:tr w:rsidR="007F349E" w14:paraId="46B51B53" w14:textId="77777777" w:rsidTr="0033472E">
        <w:trPr>
          <w:cantSplit/>
        </w:trPr>
        <w:tc>
          <w:tcPr>
            <w:tcW w:w="9590" w:type="dxa"/>
            <w:gridSpan w:val="2"/>
          </w:tcPr>
          <w:p w14:paraId="1A5B96CE" w14:textId="77777777" w:rsidR="007F349E" w:rsidRDefault="00E54BB0" w:rsidP="0033472E">
            <w:pPr>
              <w:pStyle w:val="zSoquijdatNomProcureurDem"/>
              <w:jc w:val="both"/>
            </w:pPr>
            <w:r w:rsidRPr="00E54BB0">
              <w:t>M</w:t>
            </w:r>
            <w:r w:rsidRPr="00E54BB0">
              <w:rPr>
                <w:vertAlign w:val="superscript"/>
              </w:rPr>
              <w:t>es</w:t>
            </w:r>
            <w:r w:rsidRPr="00E54BB0">
              <w:t xml:space="preserve"> Èva Dubuc-April</w:t>
            </w:r>
            <w:r>
              <w:t xml:space="preserve">, </w:t>
            </w:r>
            <w:r w:rsidRPr="00E54BB0">
              <w:t>Marie-Hélène Verge</w:t>
            </w:r>
            <w:r>
              <w:t xml:space="preserve"> et </w:t>
            </w:r>
            <w:r w:rsidRPr="00E54BB0">
              <w:t>Louis Guertin</w:t>
            </w:r>
          </w:p>
        </w:tc>
      </w:tr>
      <w:tr w:rsidR="007F349E" w14:paraId="1528399E" w14:textId="77777777" w:rsidTr="0033472E">
        <w:trPr>
          <w:cantSplit/>
        </w:trPr>
        <w:tc>
          <w:tcPr>
            <w:tcW w:w="9590" w:type="dxa"/>
            <w:gridSpan w:val="2"/>
          </w:tcPr>
          <w:p w14:paraId="2CE62BBA" w14:textId="77777777" w:rsidR="007F349E" w:rsidRDefault="00E54BB0" w:rsidP="0033472E">
            <w:pPr>
              <w:pStyle w:val="zSoquijdatCabinetProcureurDem"/>
              <w:jc w:val="both"/>
            </w:pPr>
            <w:r w:rsidRPr="00E54BB0">
              <w:t>FÉDÉRATION INTERPROFESSIONNELLE DE LA SANTÉ DU QUÉBEC - FIQ</w:t>
            </w:r>
          </w:p>
        </w:tc>
      </w:tr>
      <w:tr w:rsidR="007F349E" w14:paraId="34127B41" w14:textId="77777777" w:rsidTr="0033472E">
        <w:trPr>
          <w:cantSplit/>
        </w:trPr>
        <w:tc>
          <w:tcPr>
            <w:tcW w:w="9590" w:type="dxa"/>
            <w:gridSpan w:val="2"/>
          </w:tcPr>
          <w:p w14:paraId="43371AF8" w14:textId="77777777" w:rsidR="007F349E" w:rsidRDefault="007F349E" w:rsidP="0033472E">
            <w:pPr>
              <w:pStyle w:val="zSoquijlblProcureurDem"/>
              <w:jc w:val="both"/>
            </w:pPr>
            <w:r>
              <w:t>Pour l’association accréditée</w:t>
            </w:r>
          </w:p>
        </w:tc>
      </w:tr>
      <w:tr w:rsidR="007F349E" w14:paraId="173CF6C4" w14:textId="77777777" w:rsidTr="0033472E">
        <w:trPr>
          <w:cantSplit/>
        </w:trPr>
        <w:tc>
          <w:tcPr>
            <w:tcW w:w="9590" w:type="dxa"/>
            <w:gridSpan w:val="2"/>
          </w:tcPr>
          <w:p w14:paraId="440F3A50" w14:textId="77777777" w:rsidR="007F349E" w:rsidRDefault="007F349E" w:rsidP="0033472E">
            <w:pPr>
              <w:jc w:val="both"/>
            </w:pPr>
          </w:p>
        </w:tc>
      </w:tr>
      <w:tr w:rsidR="007F349E" w14:paraId="04D57B06" w14:textId="77777777" w:rsidTr="0033472E">
        <w:trPr>
          <w:cantSplit/>
        </w:trPr>
        <w:tc>
          <w:tcPr>
            <w:tcW w:w="9590" w:type="dxa"/>
            <w:gridSpan w:val="2"/>
          </w:tcPr>
          <w:p w14:paraId="18D37FAB" w14:textId="77777777" w:rsidR="007F349E" w:rsidRDefault="00E54BB0" w:rsidP="0033472E">
            <w:pPr>
              <w:pStyle w:val="zSoquijdatNomProcureurDef"/>
              <w:jc w:val="both"/>
            </w:pPr>
            <w:r w:rsidRPr="00E54BB0">
              <w:t>M</w:t>
            </w:r>
            <w:r w:rsidRPr="00E54BB0">
              <w:rPr>
                <w:vertAlign w:val="superscript"/>
              </w:rPr>
              <w:t>es</w:t>
            </w:r>
            <w:r w:rsidRPr="00E54BB0">
              <w:t xml:space="preserve"> Éric Séguin</w:t>
            </w:r>
            <w:r>
              <w:t xml:space="preserve"> et </w:t>
            </w:r>
            <w:r w:rsidRPr="00E54BB0">
              <w:t>Camille Dulude</w:t>
            </w:r>
          </w:p>
        </w:tc>
      </w:tr>
      <w:tr w:rsidR="007F349E" w:rsidRPr="00403E9C" w14:paraId="1D5F078E" w14:textId="77777777" w:rsidTr="0033472E">
        <w:trPr>
          <w:cantSplit/>
        </w:trPr>
        <w:tc>
          <w:tcPr>
            <w:tcW w:w="9590" w:type="dxa"/>
            <w:gridSpan w:val="2"/>
          </w:tcPr>
          <w:p w14:paraId="0CDD35A1" w14:textId="77777777" w:rsidR="007F349E" w:rsidRPr="00E54BB0" w:rsidRDefault="00E54BB0" w:rsidP="0033472E">
            <w:pPr>
              <w:pStyle w:val="zSoquijdatCabinetProcureurDef"/>
              <w:jc w:val="both"/>
              <w:rPr>
                <w:lang w:val="en-CA"/>
              </w:rPr>
            </w:pPr>
            <w:r w:rsidRPr="00E54BB0">
              <w:rPr>
                <w:lang w:val="en-CA"/>
              </w:rPr>
              <w:t>MONETTE BARAKETT, S.E.N.C.</w:t>
            </w:r>
          </w:p>
        </w:tc>
      </w:tr>
      <w:tr w:rsidR="007F349E" w14:paraId="74035360" w14:textId="77777777" w:rsidTr="0033472E">
        <w:trPr>
          <w:cantSplit/>
        </w:trPr>
        <w:tc>
          <w:tcPr>
            <w:tcW w:w="9590" w:type="dxa"/>
            <w:gridSpan w:val="2"/>
          </w:tcPr>
          <w:p w14:paraId="61B1908D" w14:textId="77777777" w:rsidR="007F349E" w:rsidRDefault="007F349E" w:rsidP="0033472E">
            <w:pPr>
              <w:pStyle w:val="zSoquijlblProcureurDef"/>
              <w:jc w:val="both"/>
            </w:pPr>
            <w:r>
              <w:t>Pour l’employeur</w:t>
            </w:r>
          </w:p>
        </w:tc>
      </w:tr>
      <w:tr w:rsidR="007F349E" w14:paraId="7C4D365F" w14:textId="77777777" w:rsidTr="0033472E">
        <w:trPr>
          <w:cantSplit/>
        </w:trPr>
        <w:tc>
          <w:tcPr>
            <w:tcW w:w="9590" w:type="dxa"/>
            <w:gridSpan w:val="2"/>
          </w:tcPr>
          <w:p w14:paraId="3EA28821" w14:textId="77777777" w:rsidR="007F349E" w:rsidRDefault="007F349E" w:rsidP="0033472E">
            <w:pPr>
              <w:jc w:val="both"/>
            </w:pPr>
          </w:p>
        </w:tc>
      </w:tr>
      <w:tr w:rsidR="007F349E" w14:paraId="623BD29C" w14:textId="77777777" w:rsidTr="0033472E">
        <w:trPr>
          <w:cantSplit/>
        </w:trPr>
        <w:tc>
          <w:tcPr>
            <w:tcW w:w="9590" w:type="dxa"/>
            <w:gridSpan w:val="2"/>
          </w:tcPr>
          <w:p w14:paraId="392BD94B" w14:textId="77777777" w:rsidR="007F349E" w:rsidRDefault="007F349E" w:rsidP="0033472E">
            <w:pPr>
              <w:pStyle w:val="zSoquijdatNomProcureurDem"/>
              <w:jc w:val="both"/>
            </w:pPr>
          </w:p>
        </w:tc>
      </w:tr>
      <w:tr w:rsidR="00E54BB0" w14:paraId="51128552" w14:textId="77777777" w:rsidTr="0033472E">
        <w:trPr>
          <w:cantSplit/>
        </w:trPr>
        <w:tc>
          <w:tcPr>
            <w:tcW w:w="9590" w:type="dxa"/>
            <w:gridSpan w:val="2"/>
          </w:tcPr>
          <w:p w14:paraId="2C0B85A3" w14:textId="77777777" w:rsidR="00E54BB0" w:rsidRDefault="00E54BB0" w:rsidP="0033472E">
            <w:pPr>
              <w:pStyle w:val="zSoquijdatNomProcureurDem"/>
              <w:jc w:val="both"/>
            </w:pPr>
            <w:r>
              <w:t>/mpl</w:t>
            </w:r>
          </w:p>
        </w:tc>
      </w:tr>
      <w:bookmarkEnd w:id="8"/>
    </w:tbl>
    <w:p w14:paraId="4E918317" w14:textId="77777777" w:rsidR="00C67357" w:rsidRDefault="00C67357" w:rsidP="00C020D5">
      <w:pPr>
        <w:pStyle w:val="corpsdedcision"/>
        <w:numPr>
          <w:ilvl w:val="0"/>
          <w:numId w:val="0"/>
        </w:numPr>
      </w:pPr>
      <w:r>
        <w:br w:type="page"/>
      </w:r>
    </w:p>
    <w:p w14:paraId="3F5EDD33" w14:textId="60443F96" w:rsidR="00A47AA2" w:rsidRPr="007F349E" w:rsidRDefault="00403E9C" w:rsidP="00C020D5">
      <w:pPr>
        <w:pStyle w:val="corpsdedcision"/>
        <w:numPr>
          <w:ilvl w:val="0"/>
          <w:numId w:val="0"/>
        </w:numPr>
      </w:pPr>
      <w:r>
        <w:rPr>
          <w:noProof/>
        </w:rPr>
        <w:lastRenderedPageBreak/>
        <w:drawing>
          <wp:inline distT="0" distB="0" distL="0" distR="0" wp14:anchorId="3558D12F" wp14:editId="2DCB0324">
            <wp:extent cx="5943600" cy="7705725"/>
            <wp:effectExtent l="0" t="0" r="0" b="9525"/>
            <wp:docPr id="1" name="Image 1" descr="Annexe_AM-1001-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xe_AM-1001-71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r>
        <w:rPr>
          <w:noProof/>
        </w:rPr>
        <w:drawing>
          <wp:inline distT="0" distB="0" distL="0" distR="0" wp14:anchorId="2B5DC1E1" wp14:editId="1EB054D1">
            <wp:extent cx="5943600" cy="7705725"/>
            <wp:effectExtent l="0" t="0" r="0" b="9525"/>
            <wp:docPr id="2" name="Image 2" descr="Annexe_AM-1001-718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xe_AM-1001-7189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r>
        <w:rPr>
          <w:noProof/>
        </w:rPr>
        <w:drawing>
          <wp:inline distT="0" distB="0" distL="0" distR="0" wp14:anchorId="46E3AB5B" wp14:editId="4A0E40CB">
            <wp:extent cx="5943600" cy="7705725"/>
            <wp:effectExtent l="0" t="0" r="0" b="9525"/>
            <wp:docPr id="3" name="Image 3" descr="Annexe_AM-1001-71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exe_AM-1001-7189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r>
        <w:rPr>
          <w:noProof/>
        </w:rPr>
        <w:drawing>
          <wp:inline distT="0" distB="0" distL="0" distR="0" wp14:anchorId="27319B00" wp14:editId="21439175">
            <wp:extent cx="5943600" cy="7705725"/>
            <wp:effectExtent l="0" t="0" r="0" b="9525"/>
            <wp:docPr id="4" name="Image 4" descr="Annexe_AM-1001-718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nexe_AM-1001-7189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r>
        <w:rPr>
          <w:noProof/>
        </w:rPr>
        <w:drawing>
          <wp:inline distT="0" distB="0" distL="0" distR="0" wp14:anchorId="351419C8" wp14:editId="79768A4C">
            <wp:extent cx="5943600" cy="7705725"/>
            <wp:effectExtent l="0" t="0" r="0" b="9525"/>
            <wp:docPr id="5" name="Image 5" descr="Annexe_AM-1001-718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exe_AM-1001-7189_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r>
        <w:rPr>
          <w:noProof/>
        </w:rPr>
        <w:drawing>
          <wp:inline distT="0" distB="0" distL="0" distR="0" wp14:anchorId="5F2DCBC5" wp14:editId="42F555D9">
            <wp:extent cx="5943600" cy="7705725"/>
            <wp:effectExtent l="0" t="0" r="0" b="9525"/>
            <wp:docPr id="6" name="Image 6" descr="Annexe_AM-1001-718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nexe_AM-1001-7189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705725"/>
                    </a:xfrm>
                    <a:prstGeom prst="rect">
                      <a:avLst/>
                    </a:prstGeom>
                    <a:noFill/>
                    <a:ln>
                      <a:noFill/>
                    </a:ln>
                  </pic:spPr>
                </pic:pic>
              </a:graphicData>
            </a:graphic>
          </wp:inline>
        </w:drawing>
      </w:r>
    </w:p>
    <w:sectPr w:rsidR="00A47AA2" w:rsidRPr="007F349E">
      <w:headerReference w:type="default" r:id="rId14"/>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4017" w14:textId="77777777" w:rsidR="00E54BB0" w:rsidRDefault="00E54BB0">
      <w:r>
        <w:separator/>
      </w:r>
    </w:p>
  </w:endnote>
  <w:endnote w:type="continuationSeparator" w:id="0">
    <w:p w14:paraId="739D45A4" w14:textId="77777777" w:rsidR="00E54BB0" w:rsidRDefault="00E5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F34A8" w14:textId="77777777" w:rsidR="00E54BB0" w:rsidRDefault="00E54BB0">
      <w:r>
        <w:separator/>
      </w:r>
    </w:p>
  </w:footnote>
  <w:footnote w:type="continuationSeparator" w:id="0">
    <w:p w14:paraId="0C4F0E23" w14:textId="77777777" w:rsidR="00E54BB0" w:rsidRDefault="00E54BB0">
      <w:r>
        <w:continuationSeparator/>
      </w:r>
    </w:p>
  </w:footnote>
  <w:footnote w:id="1">
    <w:p w14:paraId="1CAA9FA8" w14:textId="77777777" w:rsidR="000F18D4" w:rsidRDefault="000F18D4" w:rsidP="007F349E">
      <w:pPr>
        <w:pStyle w:val="Notedebasdepage"/>
        <w:tabs>
          <w:tab w:val="left" w:pos="720"/>
        </w:tabs>
        <w:ind w:left="720" w:hanging="720"/>
        <w:jc w:val="both"/>
      </w:pPr>
      <w:r>
        <w:rPr>
          <w:rStyle w:val="Appelnotedebasdep"/>
        </w:rPr>
        <w:footnoteRef/>
      </w:r>
      <w:r>
        <w:t xml:space="preserve"> </w:t>
      </w:r>
      <w:r>
        <w:rPr>
          <w:rFonts w:cs="Arial"/>
          <w:sz w:val="20"/>
        </w:rPr>
        <w:tab/>
        <w:t>RLRQ, c. C-27.</w:t>
      </w:r>
    </w:p>
  </w:footnote>
  <w:footnote w:id="2">
    <w:p w14:paraId="58BBAF32" w14:textId="77777777" w:rsidR="000F18D4" w:rsidRPr="006576BD" w:rsidRDefault="000F18D4" w:rsidP="007F349E">
      <w:pPr>
        <w:pStyle w:val="Notedebasdepage"/>
        <w:jc w:val="both"/>
        <w:rPr>
          <w:sz w:val="20"/>
        </w:rPr>
      </w:pPr>
      <w:r w:rsidRPr="00E54BB0">
        <w:rPr>
          <w:rStyle w:val="Appelnotedebasdep"/>
        </w:rPr>
        <w:footnoteRef/>
      </w:r>
      <w:r w:rsidRPr="00E54BB0">
        <w:t xml:space="preserve"> </w:t>
      </w:r>
      <w:r w:rsidRPr="006576BD">
        <w:rPr>
          <w:sz w:val="20"/>
        </w:rPr>
        <w:tab/>
        <w:t>Cette liste est annexée à la présente décision.</w:t>
      </w:r>
    </w:p>
  </w:footnote>
  <w:footnote w:id="3">
    <w:p w14:paraId="333CEFBA" w14:textId="77777777" w:rsidR="000F18D4" w:rsidRPr="006576BD" w:rsidRDefault="000F18D4" w:rsidP="007F349E">
      <w:pPr>
        <w:pStyle w:val="Notedebasdepage"/>
        <w:tabs>
          <w:tab w:val="left" w:pos="720"/>
        </w:tabs>
        <w:ind w:left="720" w:hanging="720"/>
        <w:rPr>
          <w:rFonts w:cs="Arial"/>
          <w:sz w:val="20"/>
        </w:rPr>
      </w:pPr>
      <w:r w:rsidRPr="00E54BB0">
        <w:rPr>
          <w:rStyle w:val="Appelnotedebasdep"/>
        </w:rPr>
        <w:footnoteRef/>
      </w:r>
      <w:r w:rsidRPr="00E54BB0">
        <w:t xml:space="preserve"> </w:t>
      </w:r>
      <w:r w:rsidRPr="006576BD">
        <w:rPr>
          <w:rFonts w:cs="Arial"/>
          <w:sz w:val="20"/>
        </w:rPr>
        <w:tab/>
      </w:r>
      <w:r w:rsidRPr="006576BD">
        <w:rPr>
          <w:rFonts w:cs="Arial"/>
          <w:color w:val="000000"/>
          <w:sz w:val="20"/>
        </w:rPr>
        <w:t xml:space="preserve">TRIBUNAL ADMINISTRATIF DU TRAVAIL, </w:t>
      </w:r>
      <w:r w:rsidRPr="006576BD">
        <w:rPr>
          <w:rFonts w:cs="Arial"/>
          <w:i/>
          <w:iCs/>
          <w:color w:val="000000"/>
          <w:sz w:val="20"/>
        </w:rPr>
        <w:t>Exigences du Tribunal relatives à l’évaluation des services essentiels à maintenir en cas de grève dans un établissement et à la transmission des avis de grève</w:t>
      </w:r>
      <w:r w:rsidRPr="006576BD">
        <w:rPr>
          <w:rFonts w:cs="Arial"/>
          <w:color w:val="000000"/>
          <w:sz w:val="20"/>
        </w:rPr>
        <w:t>, [Québec], TAT, 2022. [En ligne], &lt;</w:t>
      </w:r>
      <w:hyperlink r:id="rId1" w:history="1">
        <w:r w:rsidRPr="006576BD">
          <w:rPr>
            <w:rFonts w:cs="Arial"/>
            <w:color w:val="0082BF"/>
            <w:sz w:val="20"/>
            <w:u w:val="single"/>
          </w:rPr>
          <w:t>https://www.tat.gouv.qc.ca/fileadmin/tat/4Services_essentiels/Reseau_de_la_sante_et_des_services_sociaux/Exigences_version_finale.pdf</w:t>
        </w:r>
      </w:hyperlink>
      <w:r w:rsidRPr="006576BD">
        <w:rPr>
          <w:rFonts w:cs="Arial"/>
          <w:color w:val="000000"/>
          <w:sz w:val="20"/>
        </w:rPr>
        <w:t xml:space="preserve">&gt; (Page consultée en </w:t>
      </w:r>
      <w:r>
        <w:rPr>
          <w:rFonts w:cs="Arial"/>
          <w:color w:val="000000"/>
          <w:sz w:val="20"/>
        </w:rPr>
        <w:t>juin</w:t>
      </w:r>
      <w:r w:rsidRPr="006576BD">
        <w:rPr>
          <w:rFonts w:cs="Arial"/>
          <w:color w:val="000000"/>
          <w:sz w:val="20"/>
        </w:rPr>
        <w:t xml:space="preserve"> 2023).</w:t>
      </w:r>
    </w:p>
  </w:footnote>
  <w:footnote w:id="4">
    <w:p w14:paraId="43C56EE3" w14:textId="77777777" w:rsidR="000F18D4" w:rsidRPr="00D81D6F" w:rsidRDefault="000F18D4" w:rsidP="007F349E">
      <w:pPr>
        <w:pStyle w:val="Notedebasdepage"/>
        <w:jc w:val="both"/>
        <w:rPr>
          <w:sz w:val="20"/>
          <w:lang w:val="en-CA"/>
        </w:rPr>
      </w:pPr>
      <w:r w:rsidRPr="00E54BB0">
        <w:rPr>
          <w:rStyle w:val="Appelnotedebasdep"/>
        </w:rPr>
        <w:footnoteRef/>
      </w:r>
      <w:r w:rsidRPr="00E54BB0">
        <w:rPr>
          <w:lang w:val="en-CA"/>
        </w:rPr>
        <w:t xml:space="preserve"> </w:t>
      </w:r>
      <w:r w:rsidRPr="00D81D6F">
        <w:rPr>
          <w:sz w:val="20"/>
          <w:lang w:val="en-CA"/>
        </w:rPr>
        <w:tab/>
        <w:t>2015 CSC 4, par. 84.</w:t>
      </w:r>
    </w:p>
  </w:footnote>
  <w:footnote w:id="5">
    <w:p w14:paraId="083BDCC6" w14:textId="77777777" w:rsidR="000F18D4" w:rsidRPr="00D81D6F" w:rsidRDefault="000F18D4" w:rsidP="007F349E">
      <w:pPr>
        <w:pStyle w:val="Notedebasdepage"/>
        <w:jc w:val="both"/>
        <w:rPr>
          <w:lang w:val="en-CA"/>
        </w:rPr>
      </w:pPr>
      <w:r w:rsidRPr="00E54BB0">
        <w:rPr>
          <w:rStyle w:val="Appelnotedebasdep"/>
        </w:rPr>
        <w:footnoteRef/>
      </w:r>
      <w:r w:rsidRPr="00E54BB0">
        <w:rPr>
          <w:lang w:val="en-CA"/>
        </w:rPr>
        <w:t xml:space="preserve"> </w:t>
      </w:r>
      <w:r w:rsidRPr="00D81D6F">
        <w:rPr>
          <w:sz w:val="20"/>
          <w:lang w:val="en-CA"/>
        </w:rPr>
        <w:tab/>
      </w:r>
      <w:r w:rsidRPr="00D81D6F">
        <w:rPr>
          <w:color w:val="000000"/>
          <w:sz w:val="20"/>
          <w:lang w:val="en-CA"/>
        </w:rPr>
        <w:t>[1987] 1 R.C.S. 313.</w:t>
      </w:r>
    </w:p>
  </w:footnote>
  <w:footnote w:id="6">
    <w:p w14:paraId="7B915764" w14:textId="77777777" w:rsidR="000F18D4" w:rsidRPr="00245DE7" w:rsidRDefault="000F18D4" w:rsidP="007F349E">
      <w:pPr>
        <w:pStyle w:val="Notedebasdepage"/>
        <w:tabs>
          <w:tab w:val="left" w:pos="720"/>
        </w:tabs>
        <w:ind w:left="720" w:hanging="720"/>
        <w:jc w:val="both"/>
        <w:rPr>
          <w:rFonts w:cs="Arial"/>
          <w:sz w:val="20"/>
          <w:lang w:val="en-CA"/>
        </w:rPr>
      </w:pPr>
      <w:r w:rsidRPr="00E54BB0">
        <w:rPr>
          <w:rStyle w:val="Appelnotedebasdep"/>
          <w:rFonts w:cs="Arial"/>
        </w:rPr>
        <w:footnoteRef/>
      </w:r>
      <w:r w:rsidRPr="00E54BB0">
        <w:rPr>
          <w:rFonts w:cs="Arial"/>
          <w:lang w:val="en-CA"/>
        </w:rPr>
        <w:t xml:space="preserve"> </w:t>
      </w:r>
      <w:r w:rsidRPr="00245DE7">
        <w:rPr>
          <w:rFonts w:cs="Arial"/>
          <w:sz w:val="20"/>
          <w:lang w:val="en-CA"/>
        </w:rPr>
        <w:tab/>
      </w:r>
      <w:smartTag w:uri="urn:schemas-microsoft-com:office:smarttags" w:element="State">
        <w:r w:rsidRPr="00245DE7">
          <w:rPr>
            <w:rFonts w:cs="Arial"/>
            <w:i/>
            <w:sz w:val="20"/>
            <w:lang w:val="en-CA"/>
          </w:rPr>
          <w:t>Saskatchewan</w:t>
        </w:r>
      </w:smartTag>
      <w:r w:rsidRPr="00245DE7">
        <w:rPr>
          <w:rFonts w:cs="Arial"/>
          <w:i/>
          <w:sz w:val="20"/>
          <w:lang w:val="en-CA"/>
        </w:rPr>
        <w:t xml:space="preserve"> Federation of Labour</w:t>
      </w:r>
      <w:r w:rsidRPr="00245DE7">
        <w:rPr>
          <w:rFonts w:cs="Arial"/>
          <w:sz w:val="20"/>
          <w:lang w:val="en-CA"/>
        </w:rPr>
        <w:t xml:space="preserve"> c. </w:t>
      </w:r>
      <w:smartTag w:uri="urn:schemas-microsoft-com:office:smarttags" w:element="place">
        <w:smartTag w:uri="urn:schemas-microsoft-com:office:smarttags" w:element="State">
          <w:r w:rsidRPr="00245DE7">
            <w:rPr>
              <w:rFonts w:cs="Arial"/>
              <w:i/>
              <w:sz w:val="20"/>
              <w:lang w:val="en-CA"/>
            </w:rPr>
            <w:t>Saskatchewan</w:t>
          </w:r>
        </w:smartTag>
      </w:smartTag>
      <w:r w:rsidRPr="00245DE7">
        <w:rPr>
          <w:rFonts w:cs="Arial"/>
          <w:sz w:val="20"/>
          <w:lang w:val="en-CA"/>
        </w:rPr>
        <w:t xml:space="preserve">, </w:t>
      </w:r>
      <w:r w:rsidRPr="00EF73DD">
        <w:rPr>
          <w:sz w:val="20"/>
          <w:lang w:val="en-CA"/>
        </w:rPr>
        <w:t>2015 CSC 4</w:t>
      </w:r>
      <w:r>
        <w:rPr>
          <w:rFonts w:cs="Arial"/>
          <w:sz w:val="20"/>
          <w:lang w:val="en-CA"/>
        </w:rPr>
        <w:t>.</w:t>
      </w:r>
    </w:p>
  </w:footnote>
  <w:footnote w:id="7">
    <w:p w14:paraId="11D291C4" w14:textId="77777777" w:rsidR="000F18D4" w:rsidRPr="00813099" w:rsidRDefault="000F18D4" w:rsidP="007F349E">
      <w:pPr>
        <w:pStyle w:val="Notedebasdepage"/>
        <w:ind w:left="709" w:hanging="709"/>
        <w:jc w:val="both"/>
        <w:rPr>
          <w:sz w:val="20"/>
          <w:lang w:val="en-CA"/>
        </w:rPr>
      </w:pPr>
      <w:r w:rsidRPr="00E54BB0">
        <w:rPr>
          <w:rStyle w:val="Appelnotedebasdep"/>
        </w:rPr>
        <w:footnoteRef/>
      </w:r>
      <w:r w:rsidRPr="00E54BB0">
        <w:t xml:space="preserve"> </w:t>
      </w:r>
      <w:r w:rsidRPr="00245DE7">
        <w:rPr>
          <w:sz w:val="20"/>
        </w:rPr>
        <w:tab/>
      </w:r>
      <w:r w:rsidRPr="00245DE7">
        <w:rPr>
          <w:i/>
          <w:sz w:val="20"/>
        </w:rPr>
        <w:t>Héma-Québec</w:t>
      </w:r>
      <w:r w:rsidRPr="00245DE7">
        <w:rPr>
          <w:sz w:val="20"/>
        </w:rPr>
        <w:t xml:space="preserve"> et </w:t>
      </w:r>
      <w:r w:rsidRPr="00245DE7">
        <w:rPr>
          <w:i/>
          <w:sz w:val="20"/>
        </w:rPr>
        <w:t xml:space="preserve">Syndicat des techniciens(nes) de laboratoire de Héma-Québec (CSN), </w:t>
      </w:r>
      <w:r>
        <w:rPr>
          <w:sz w:val="20"/>
        </w:rPr>
        <w:t>2020 </w:t>
      </w:r>
      <w:r w:rsidRPr="00D933EE">
        <w:rPr>
          <w:sz w:val="20"/>
        </w:rPr>
        <w:t>QCTAT 1064</w:t>
      </w:r>
      <w:r>
        <w:rPr>
          <w:rFonts w:cs="Arial"/>
          <w:bCs/>
          <w:sz w:val="20"/>
        </w:rPr>
        <w:t xml:space="preserve">. </w:t>
      </w:r>
      <w:r w:rsidRPr="00813099">
        <w:rPr>
          <w:rFonts w:cs="Arial"/>
          <w:bCs/>
          <w:sz w:val="20"/>
          <w:lang w:val="en-CA"/>
        </w:rPr>
        <w:t>Révision rejetée, 2020 QCTAT 4647.</w:t>
      </w:r>
    </w:p>
  </w:footnote>
  <w:footnote w:id="8">
    <w:p w14:paraId="562EB82F" w14:textId="77777777" w:rsidR="000F18D4" w:rsidRPr="00813099" w:rsidRDefault="000F18D4" w:rsidP="007F349E">
      <w:pPr>
        <w:pStyle w:val="Notedebasdepage"/>
        <w:jc w:val="both"/>
        <w:rPr>
          <w:sz w:val="20"/>
          <w:lang w:val="en-CA"/>
        </w:rPr>
      </w:pPr>
      <w:r w:rsidRPr="00E54BB0">
        <w:rPr>
          <w:rStyle w:val="Appelnotedebasdep"/>
        </w:rPr>
        <w:footnoteRef/>
      </w:r>
      <w:r w:rsidRPr="00813099">
        <w:rPr>
          <w:lang w:val="en-CA"/>
        </w:rPr>
        <w:t xml:space="preserve"> </w:t>
      </w:r>
      <w:r w:rsidRPr="00813099">
        <w:rPr>
          <w:sz w:val="20"/>
          <w:lang w:val="en-CA"/>
        </w:rPr>
        <w:tab/>
      </w:r>
      <w:r w:rsidRPr="00813099">
        <w:rPr>
          <w:i/>
          <w:sz w:val="20"/>
          <w:lang w:val="en-CA"/>
        </w:rPr>
        <w:t>Saskatchewan Federation of Labour</w:t>
      </w:r>
      <w:r w:rsidRPr="00813099">
        <w:rPr>
          <w:sz w:val="20"/>
          <w:lang w:val="en-CA"/>
        </w:rPr>
        <w:t xml:space="preserve"> c. </w:t>
      </w:r>
      <w:r w:rsidRPr="00813099">
        <w:rPr>
          <w:i/>
          <w:sz w:val="20"/>
          <w:lang w:val="en-CA"/>
        </w:rPr>
        <w:t>Saskatchewan,</w:t>
      </w:r>
      <w:r w:rsidRPr="00813099">
        <w:rPr>
          <w:sz w:val="20"/>
          <w:lang w:val="en-CA"/>
        </w:rPr>
        <w:t xml:space="preserve"> 2015 CSC 4, par. 92.</w:t>
      </w:r>
    </w:p>
  </w:footnote>
  <w:footnote w:id="9">
    <w:p w14:paraId="595CD4D0" w14:textId="77777777" w:rsidR="000F18D4" w:rsidRPr="00245DE7" w:rsidRDefault="000F18D4" w:rsidP="007F349E">
      <w:pPr>
        <w:pStyle w:val="Notedebasdepage"/>
        <w:tabs>
          <w:tab w:val="left" w:pos="720"/>
        </w:tabs>
        <w:ind w:left="720" w:hanging="720"/>
        <w:jc w:val="both"/>
        <w:rPr>
          <w:rFonts w:cs="Arial"/>
          <w:sz w:val="20"/>
        </w:rPr>
      </w:pPr>
      <w:r w:rsidRPr="00E54BB0">
        <w:rPr>
          <w:rStyle w:val="Appelnotedebasdep"/>
        </w:rPr>
        <w:footnoteRef/>
      </w:r>
      <w:r w:rsidRPr="00E54BB0">
        <w:t xml:space="preserve"> </w:t>
      </w:r>
      <w:r w:rsidRPr="00245DE7">
        <w:rPr>
          <w:rFonts w:cs="Arial"/>
          <w:sz w:val="20"/>
        </w:rPr>
        <w:tab/>
      </w:r>
      <w:r w:rsidRPr="00A32118">
        <w:rPr>
          <w:rFonts w:cs="Arial"/>
          <w:i/>
          <w:sz w:val="20"/>
        </w:rPr>
        <w:t xml:space="preserve">Fraternité des travailleurs et travailleuses du préhospitalier du Québec - SCFP 7300 </w:t>
      </w:r>
      <w:r w:rsidRPr="004A030F">
        <w:rPr>
          <w:rFonts w:cs="Arial"/>
          <w:sz w:val="20"/>
        </w:rPr>
        <w:t>c</w:t>
      </w:r>
      <w:r w:rsidRPr="00A32118">
        <w:rPr>
          <w:rFonts w:cs="Arial"/>
          <w:i/>
          <w:sz w:val="20"/>
        </w:rPr>
        <w:t>. Ambulances Acton Vale, une division de Dessercom inc.</w:t>
      </w:r>
      <w:r w:rsidRPr="004A030F">
        <w:rPr>
          <w:rFonts w:cs="Arial"/>
          <w:sz w:val="20"/>
        </w:rPr>
        <w:t>,</w:t>
      </w:r>
      <w:r w:rsidRPr="00A32118">
        <w:rPr>
          <w:rFonts w:cs="Arial"/>
          <w:i/>
          <w:sz w:val="20"/>
        </w:rPr>
        <w:t xml:space="preserve"> </w:t>
      </w:r>
      <w:r w:rsidRPr="00254836">
        <w:rPr>
          <w:rFonts w:cs="Arial"/>
          <w:sz w:val="20"/>
        </w:rPr>
        <w:t>2022 QCTAT 430</w:t>
      </w:r>
      <w:r>
        <w:rPr>
          <w:rFonts w:cs="Arial"/>
          <w:sz w:val="20"/>
        </w:rPr>
        <w:t>.</w:t>
      </w:r>
    </w:p>
  </w:footnote>
  <w:footnote w:id="10">
    <w:p w14:paraId="595D256C" w14:textId="77777777" w:rsidR="000F18D4" w:rsidRPr="001E07F4" w:rsidRDefault="000F18D4" w:rsidP="007F349E">
      <w:pPr>
        <w:pStyle w:val="Notedebasdepage"/>
        <w:ind w:left="709" w:hanging="709"/>
        <w:jc w:val="both"/>
        <w:rPr>
          <w:sz w:val="20"/>
        </w:rPr>
      </w:pPr>
      <w:r w:rsidRPr="00E54BB0">
        <w:rPr>
          <w:rStyle w:val="Appelnotedebasdep"/>
        </w:rPr>
        <w:footnoteRef/>
      </w:r>
      <w:r w:rsidRPr="00E54BB0">
        <w:t xml:space="preserve"> </w:t>
      </w:r>
      <w:r w:rsidRPr="00245DE7">
        <w:rPr>
          <w:sz w:val="20"/>
        </w:rPr>
        <w:tab/>
      </w:r>
      <w:r w:rsidRPr="00245DE7">
        <w:rPr>
          <w:i/>
          <w:sz w:val="20"/>
        </w:rPr>
        <w:t>Syndicat canadien de la fonction publique, section locale 301</w:t>
      </w:r>
      <w:r w:rsidRPr="00245DE7">
        <w:rPr>
          <w:sz w:val="20"/>
        </w:rPr>
        <w:t xml:space="preserve"> c. </w:t>
      </w:r>
      <w:r w:rsidRPr="00245DE7">
        <w:rPr>
          <w:i/>
          <w:sz w:val="20"/>
        </w:rPr>
        <w:t>Montréal (Ville),</w:t>
      </w:r>
      <w:r>
        <w:rPr>
          <w:sz w:val="20"/>
        </w:rPr>
        <w:t xml:space="preserve"> [1997] 1 R.C.S. 793; </w:t>
      </w:r>
      <w:r w:rsidRPr="006576BD">
        <w:rPr>
          <w:i/>
          <w:sz w:val="20"/>
        </w:rPr>
        <w:t>FIQ - Syndicat des professionnelles en soins des Laurentides</w:t>
      </w:r>
      <w:r w:rsidRPr="006576BD">
        <w:rPr>
          <w:sz w:val="20"/>
        </w:rPr>
        <w:t xml:space="preserve"> c. </w:t>
      </w:r>
      <w:r w:rsidRPr="006576BD">
        <w:rPr>
          <w:i/>
          <w:sz w:val="20"/>
        </w:rPr>
        <w:t>Centre intégré de santé et de services sociaux des Laurentides</w:t>
      </w:r>
      <w:r w:rsidRPr="006576BD">
        <w:rPr>
          <w:sz w:val="20"/>
        </w:rPr>
        <w:t>,</w:t>
      </w:r>
      <w:r w:rsidRPr="003B4434">
        <w:rPr>
          <w:rFonts w:ascii="Helv" w:hAnsi="Helv" w:cs="Helv"/>
          <w:color w:val="000000"/>
          <w:sz w:val="20"/>
        </w:rPr>
        <w:t xml:space="preserve"> </w:t>
      </w:r>
      <w:r w:rsidRPr="006576BD">
        <w:rPr>
          <w:sz w:val="20"/>
        </w:rPr>
        <w:t>2022 QCTAT 2691</w:t>
      </w:r>
      <w:r>
        <w:rPr>
          <w:sz w:val="20"/>
        </w:rPr>
        <w:t>.</w:t>
      </w:r>
    </w:p>
  </w:footnote>
  <w:footnote w:id="11">
    <w:p w14:paraId="657195B8" w14:textId="77777777" w:rsidR="000F18D4" w:rsidRPr="00DE4C16" w:rsidRDefault="000F18D4" w:rsidP="007F349E">
      <w:pPr>
        <w:pStyle w:val="Notedebasdepage"/>
        <w:jc w:val="both"/>
        <w:rPr>
          <w:sz w:val="20"/>
        </w:rPr>
      </w:pPr>
      <w:r w:rsidRPr="00E54BB0">
        <w:rPr>
          <w:rStyle w:val="Appelnotedebasdep"/>
        </w:rPr>
        <w:footnoteRef/>
      </w:r>
      <w:r w:rsidRPr="00E54BB0">
        <w:t xml:space="preserve"> </w:t>
      </w:r>
      <w:r w:rsidRPr="00DE4C16">
        <w:rPr>
          <w:sz w:val="20"/>
        </w:rPr>
        <w:tab/>
        <w:t>RLRQ, c. U-0.1.</w:t>
      </w:r>
    </w:p>
  </w:footnote>
  <w:footnote w:id="12">
    <w:p w14:paraId="5189ACDA" w14:textId="77777777" w:rsidR="00E54BB0" w:rsidRDefault="00E54BB0" w:rsidP="00F67403">
      <w:pPr>
        <w:pStyle w:val="Notedebasdepage"/>
      </w:pPr>
      <w:r w:rsidRPr="00E54BB0">
        <w:rPr>
          <w:rStyle w:val="Appelnotedebasdep"/>
        </w:rPr>
        <w:footnoteRef/>
      </w:r>
      <w:r w:rsidRPr="00E54BB0">
        <w:t xml:space="preserve"> </w:t>
      </w:r>
      <w:r w:rsidRPr="001F2DEE">
        <w:rPr>
          <w:sz w:val="20"/>
        </w:rPr>
        <w:tab/>
      </w:r>
      <w:r w:rsidR="00B946D6">
        <w:rPr>
          <w:sz w:val="20"/>
        </w:rPr>
        <w:t>2023 QCTAT 2505</w:t>
      </w:r>
      <w:r>
        <w:rPr>
          <w:sz w:val="20"/>
        </w:rPr>
        <w:t>.</w:t>
      </w:r>
    </w:p>
  </w:footnote>
  <w:footnote w:id="13">
    <w:p w14:paraId="29B90E73" w14:textId="77777777" w:rsidR="00E54BB0" w:rsidRPr="00EF73DD" w:rsidRDefault="00E54BB0" w:rsidP="00F67403">
      <w:pPr>
        <w:pStyle w:val="Notedebasdepage"/>
        <w:ind w:left="709" w:hanging="709"/>
        <w:jc w:val="both"/>
        <w:rPr>
          <w:sz w:val="20"/>
        </w:rPr>
      </w:pPr>
      <w:r w:rsidRPr="00E54BB0">
        <w:rPr>
          <w:rStyle w:val="Appelnotedebasdep"/>
        </w:rPr>
        <w:footnoteRef/>
      </w:r>
      <w:r w:rsidRPr="00E54BB0">
        <w:t xml:space="preserve"> </w:t>
      </w:r>
      <w:r w:rsidRPr="00EF73DD">
        <w:rPr>
          <w:sz w:val="20"/>
        </w:rPr>
        <w:tab/>
      </w:r>
      <w:r w:rsidRPr="00EF73DD">
        <w:rPr>
          <w:i/>
          <w:sz w:val="20"/>
        </w:rPr>
        <w:t>Syndicat régional des professionnelles en soins du Québec — (SRPSQ-FIQP)</w:t>
      </w:r>
      <w:r w:rsidRPr="00EF73DD">
        <w:rPr>
          <w:sz w:val="20"/>
        </w:rPr>
        <w:t xml:space="preserve"> et </w:t>
      </w:r>
      <w:r w:rsidRPr="00EF73DD">
        <w:rPr>
          <w:i/>
          <w:sz w:val="20"/>
        </w:rPr>
        <w:t>Centre Le Cardinal inc</w:t>
      </w:r>
      <w:r w:rsidRPr="00EF73DD">
        <w:rPr>
          <w:sz w:val="20"/>
        </w:rPr>
        <w:t>., 2020 QCTAT 4396.</w:t>
      </w:r>
    </w:p>
  </w:footnote>
  <w:footnote w:id="14">
    <w:p w14:paraId="3B6C10CB" w14:textId="77777777" w:rsidR="00E54BB0" w:rsidRPr="00EF73DD" w:rsidRDefault="00E54BB0" w:rsidP="00F67403">
      <w:pPr>
        <w:pStyle w:val="Notedebasdepage"/>
        <w:tabs>
          <w:tab w:val="left" w:pos="720"/>
        </w:tabs>
        <w:ind w:left="720" w:hanging="720"/>
        <w:jc w:val="both"/>
        <w:rPr>
          <w:rFonts w:cs="Arial"/>
          <w:sz w:val="20"/>
        </w:rPr>
      </w:pPr>
      <w:r w:rsidRPr="00E54BB0">
        <w:rPr>
          <w:rStyle w:val="Appelnotedebasdep"/>
        </w:rPr>
        <w:footnoteRef/>
      </w:r>
      <w:r w:rsidRPr="00E54BB0">
        <w:t xml:space="preserve"> </w:t>
      </w:r>
      <w:r w:rsidRPr="00EF73DD">
        <w:rPr>
          <w:rFonts w:cs="Arial"/>
          <w:sz w:val="20"/>
        </w:rPr>
        <w:tab/>
      </w:r>
      <w:r w:rsidRPr="00EF73DD">
        <w:rPr>
          <w:rFonts w:cs="Arial"/>
          <w:bCs/>
          <w:i/>
          <w:sz w:val="20"/>
        </w:rPr>
        <w:t>Héma-Québec</w:t>
      </w:r>
      <w:r w:rsidRPr="00EF73DD">
        <w:rPr>
          <w:rFonts w:cs="Arial"/>
          <w:bCs/>
          <w:sz w:val="20"/>
        </w:rPr>
        <w:t xml:space="preserve"> et </w:t>
      </w:r>
      <w:r w:rsidRPr="00EF73DD">
        <w:rPr>
          <w:rFonts w:cs="Arial"/>
          <w:bCs/>
          <w:i/>
          <w:sz w:val="20"/>
        </w:rPr>
        <w:t>Syndicat des techniciens(nes) de laboratoire de Héma-Québec (CSN)</w:t>
      </w:r>
      <w:r w:rsidRPr="00EF73DD">
        <w:rPr>
          <w:rFonts w:cs="Arial"/>
          <w:bCs/>
          <w:sz w:val="20"/>
        </w:rPr>
        <w:t>,</w:t>
      </w:r>
      <w:r>
        <w:rPr>
          <w:rFonts w:cs="Arial"/>
          <w:bCs/>
          <w:sz w:val="20"/>
        </w:rPr>
        <w:t xml:space="preserve"> </w:t>
      </w:r>
      <w:r w:rsidRPr="00D933EE">
        <w:rPr>
          <w:sz w:val="20"/>
        </w:rPr>
        <w:t>2020 QCTAT 1064</w:t>
      </w:r>
      <w:r>
        <w:rPr>
          <w:i/>
          <w:sz w:val="20"/>
        </w:rPr>
        <w:t xml:space="preserve">. </w:t>
      </w:r>
      <w:r>
        <w:rPr>
          <w:rFonts w:cs="Arial"/>
          <w:bCs/>
          <w:sz w:val="20"/>
        </w:rPr>
        <w:t>R</w:t>
      </w:r>
      <w:r w:rsidRPr="00F601AF">
        <w:rPr>
          <w:rFonts w:cs="Arial"/>
          <w:bCs/>
          <w:sz w:val="20"/>
        </w:rPr>
        <w:t>évision rejetée</w:t>
      </w:r>
      <w:r>
        <w:rPr>
          <w:rFonts w:cs="Arial"/>
          <w:bCs/>
          <w:sz w:val="20"/>
        </w:rPr>
        <w:t>,</w:t>
      </w:r>
      <w:r w:rsidRPr="00F601AF">
        <w:rPr>
          <w:rFonts w:cs="Arial"/>
          <w:bCs/>
          <w:sz w:val="20"/>
        </w:rPr>
        <w:t xml:space="preserve"> 2020 QCTAT 4647.</w:t>
      </w:r>
    </w:p>
  </w:footnote>
  <w:footnote w:id="15">
    <w:p w14:paraId="3BCD0C5F" w14:textId="77777777" w:rsidR="00E54BB0" w:rsidRPr="00E54BB0" w:rsidRDefault="00E54BB0" w:rsidP="00E54BB0">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EF73DD">
        <w:rPr>
          <w:rFonts w:cs="Arial"/>
          <w:i/>
          <w:sz w:val="20"/>
        </w:rPr>
        <w:t xml:space="preserve">Centre de santé et services sociaux Inuulitsivik </w:t>
      </w:r>
      <w:r w:rsidRPr="00EF73DD">
        <w:rPr>
          <w:rFonts w:cs="Arial"/>
          <w:sz w:val="20"/>
        </w:rPr>
        <w:t xml:space="preserve">c. </w:t>
      </w:r>
      <w:r w:rsidRPr="00EF73DD">
        <w:rPr>
          <w:rFonts w:cs="Arial"/>
          <w:i/>
          <w:sz w:val="20"/>
        </w:rPr>
        <w:t>Syndicat nordique des infirmières et infirmiers de la Baie d'Hudson</w:t>
      </w:r>
      <w:r w:rsidRPr="00EF73DD">
        <w:rPr>
          <w:rFonts w:cs="Arial"/>
          <w:sz w:val="20"/>
        </w:rPr>
        <w:t>, 2023 QCTAT 266.</w:t>
      </w:r>
    </w:p>
  </w:footnote>
  <w:footnote w:id="16">
    <w:p w14:paraId="44605D12" w14:textId="77777777" w:rsidR="00E54BB0" w:rsidRPr="005878AD" w:rsidRDefault="00E54BB0" w:rsidP="00F67403">
      <w:pPr>
        <w:pStyle w:val="Notedebasdepage"/>
        <w:tabs>
          <w:tab w:val="left" w:pos="720"/>
        </w:tabs>
        <w:ind w:left="720" w:hanging="720"/>
        <w:jc w:val="both"/>
        <w:rPr>
          <w:rFonts w:cs="Arial"/>
          <w:sz w:val="20"/>
        </w:rPr>
      </w:pPr>
      <w:r w:rsidRPr="00E54BB0">
        <w:rPr>
          <w:rStyle w:val="Appelnotedebasdep"/>
        </w:rPr>
        <w:footnoteRef/>
      </w:r>
      <w:r w:rsidRPr="00E54BB0">
        <w:t xml:space="preserve"> </w:t>
      </w:r>
      <w:r w:rsidRPr="00EF73DD">
        <w:rPr>
          <w:rFonts w:cs="Arial"/>
          <w:sz w:val="20"/>
        </w:rPr>
        <w:tab/>
      </w:r>
      <w:r w:rsidRPr="00EF73DD">
        <w:rPr>
          <w:rFonts w:cs="Arial"/>
          <w:i/>
          <w:sz w:val="20"/>
        </w:rPr>
        <w:t>FIQ — Syndicat des professionnelles en soins des Laurentides</w:t>
      </w:r>
      <w:r w:rsidRPr="00EF73DD">
        <w:rPr>
          <w:rFonts w:cs="Arial"/>
          <w:sz w:val="20"/>
        </w:rPr>
        <w:t xml:space="preserve"> c. </w:t>
      </w:r>
      <w:r w:rsidRPr="00EF73DD">
        <w:rPr>
          <w:rFonts w:cs="Arial"/>
          <w:i/>
          <w:sz w:val="20"/>
        </w:rPr>
        <w:t>Centre intégré de santé et de services sociaux des Laurentides</w:t>
      </w:r>
      <w:r>
        <w:rPr>
          <w:rFonts w:cs="Arial"/>
          <w:sz w:val="20"/>
        </w:rPr>
        <w:t>, 2020 QCTAT 4759. R</w:t>
      </w:r>
      <w:r w:rsidRPr="00EF73DD">
        <w:rPr>
          <w:rFonts w:cs="Arial"/>
          <w:sz w:val="20"/>
        </w:rPr>
        <w:t>equêtes en rejet accueillies et requêtes en révision rejetées, 2022 QCTAT 2691.</w:t>
      </w:r>
    </w:p>
  </w:footnote>
  <w:footnote w:id="17">
    <w:p w14:paraId="3FDF5D19" w14:textId="77777777" w:rsidR="000F18D4" w:rsidRPr="00733157" w:rsidRDefault="000F18D4" w:rsidP="007F349E">
      <w:pPr>
        <w:pStyle w:val="Notedebasdepage"/>
        <w:jc w:val="both"/>
        <w:rPr>
          <w:sz w:val="20"/>
        </w:rPr>
      </w:pPr>
      <w:r w:rsidRPr="00E54BB0">
        <w:rPr>
          <w:rStyle w:val="Appelnotedebasdep"/>
        </w:rPr>
        <w:footnoteRef/>
      </w:r>
      <w:r w:rsidRPr="00E54BB0">
        <w:t xml:space="preserve"> </w:t>
      </w:r>
      <w:r w:rsidRPr="00733157">
        <w:rPr>
          <w:sz w:val="20"/>
        </w:rPr>
        <w:tab/>
        <w:t>Article</w:t>
      </w:r>
      <w:r>
        <w:rPr>
          <w:sz w:val="20"/>
        </w:rPr>
        <w:t> </w:t>
      </w:r>
      <w:r w:rsidRPr="00733157">
        <w:rPr>
          <w:sz w:val="20"/>
        </w:rPr>
        <w:t xml:space="preserve">111.11 du </w:t>
      </w:r>
      <w:r w:rsidRPr="00204E1C">
        <w:rPr>
          <w:sz w:val="20"/>
        </w:rPr>
        <w:t>Code</w:t>
      </w:r>
      <w:r w:rsidRPr="00733157">
        <w:rPr>
          <w:sz w:val="20"/>
        </w:rPr>
        <w:t>.</w:t>
      </w:r>
    </w:p>
  </w:footnote>
  <w:footnote w:id="18">
    <w:p w14:paraId="77034E96" w14:textId="77777777" w:rsidR="000F18D4" w:rsidRDefault="000F18D4" w:rsidP="007F349E">
      <w:pPr>
        <w:pStyle w:val="Notedebasdepage"/>
        <w:ind w:left="709" w:hanging="709"/>
        <w:jc w:val="both"/>
      </w:pPr>
      <w:r w:rsidRPr="00E54BB0">
        <w:rPr>
          <w:rStyle w:val="Appelnotedebasdep"/>
        </w:rPr>
        <w:footnoteRef/>
      </w:r>
      <w:r w:rsidRPr="00E54BB0">
        <w:t xml:space="preserve"> </w:t>
      </w:r>
      <w:r>
        <w:tab/>
      </w:r>
      <w:r w:rsidRPr="00733157">
        <w:rPr>
          <w:i/>
          <w:sz w:val="20"/>
        </w:rPr>
        <w:t xml:space="preserve">Montréal (Ville de) </w:t>
      </w:r>
      <w:r w:rsidRPr="00733157">
        <w:rPr>
          <w:sz w:val="20"/>
        </w:rPr>
        <w:t xml:space="preserve">et </w:t>
      </w:r>
      <w:r w:rsidRPr="00733157">
        <w:rPr>
          <w:i/>
          <w:sz w:val="20"/>
        </w:rPr>
        <w:t>Syndicat canadien de la fonction publique, section locale</w:t>
      </w:r>
      <w:r>
        <w:rPr>
          <w:i/>
          <w:sz w:val="20"/>
        </w:rPr>
        <w:t> </w:t>
      </w:r>
      <w:r w:rsidRPr="00733157">
        <w:rPr>
          <w:i/>
          <w:sz w:val="20"/>
        </w:rPr>
        <w:t>301 (cols bleus)</w:t>
      </w:r>
      <w:r w:rsidRPr="00733157">
        <w:rPr>
          <w:sz w:val="20"/>
        </w:rPr>
        <w:t xml:space="preserve">, </w:t>
      </w:r>
      <w:r>
        <w:rPr>
          <w:sz w:val="20"/>
        </w:rPr>
        <w:t>[1995]</w:t>
      </w:r>
      <w:r w:rsidRPr="00733157">
        <w:rPr>
          <w:sz w:val="20"/>
        </w:rPr>
        <w:t xml:space="preserve"> AZ-96149304</w:t>
      </w:r>
      <w:r>
        <w:rPr>
          <w:sz w:val="20"/>
        </w:rPr>
        <w:t xml:space="preserve"> (C.S.E.).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0F18D4" w14:paraId="17D257C5" w14:textId="77777777" w:rsidTr="00E54BB0">
      <w:tc>
        <w:tcPr>
          <w:tcW w:w="8730" w:type="dxa"/>
        </w:tcPr>
        <w:p w14:paraId="6917FE16" w14:textId="77777777" w:rsidR="000F18D4" w:rsidRDefault="000F18D4">
          <w:pPr>
            <w:pStyle w:val="En-tte"/>
            <w:ind w:left="-90"/>
          </w:pPr>
        </w:p>
      </w:tc>
      <w:tc>
        <w:tcPr>
          <w:tcW w:w="860" w:type="dxa"/>
        </w:tcPr>
        <w:p w14:paraId="587B9364" w14:textId="77777777" w:rsidR="000F18D4" w:rsidRDefault="000F18D4">
          <w:pPr>
            <w:pStyle w:val="En-tte"/>
            <w:ind w:left="-90"/>
          </w:pPr>
        </w:p>
      </w:tc>
    </w:tr>
    <w:tr w:rsidR="00E54BB0" w14:paraId="0E563D6D" w14:textId="77777777" w:rsidTr="00E54BB0">
      <w:tc>
        <w:tcPr>
          <w:tcW w:w="8730" w:type="dxa"/>
        </w:tcPr>
        <w:p w14:paraId="7B7DDE61" w14:textId="77777777" w:rsidR="00E54BB0" w:rsidRDefault="00E54BB0" w:rsidP="00E54BB0">
          <w:pPr>
            <w:pStyle w:val="zSoquijdatNoDossier"/>
          </w:pPr>
          <w:r>
            <w:t>1308351-31-</w:t>
          </w:r>
          <w:r w:rsidRPr="00E54BB0">
            <w:t>2304</w:t>
          </w:r>
        </w:p>
      </w:tc>
      <w:tc>
        <w:tcPr>
          <w:tcW w:w="860" w:type="dxa"/>
        </w:tcPr>
        <w:p w14:paraId="26C929D3" w14:textId="77777777" w:rsidR="00E54BB0" w:rsidRDefault="00E54BB0" w:rsidP="00E54BB0">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403E9C">
            <w:rPr>
              <w:rStyle w:val="Numrodepage"/>
              <w:noProof/>
            </w:rPr>
            <w:t>13</w:t>
          </w:r>
          <w:r>
            <w:rPr>
              <w:rStyle w:val="Numrodepage"/>
            </w:rPr>
            <w:fldChar w:fldCharType="end"/>
          </w:r>
        </w:p>
      </w:tc>
    </w:tr>
    <w:tr w:rsidR="00E54BB0" w14:paraId="0A2B6848" w14:textId="77777777" w:rsidTr="00E54BB0">
      <w:tc>
        <w:tcPr>
          <w:tcW w:w="8730" w:type="dxa"/>
        </w:tcPr>
        <w:p w14:paraId="1D7F33CD" w14:textId="77777777" w:rsidR="00E54BB0" w:rsidRDefault="00E54BB0" w:rsidP="00E54BB0"/>
      </w:tc>
      <w:tc>
        <w:tcPr>
          <w:tcW w:w="860" w:type="dxa"/>
        </w:tcPr>
        <w:p w14:paraId="33F2F19A" w14:textId="77777777" w:rsidR="00E54BB0" w:rsidRDefault="00E54BB0" w:rsidP="00E54BB0">
          <w:pPr>
            <w:pStyle w:val="En-tte"/>
            <w:ind w:left="-90"/>
            <w:jc w:val="right"/>
          </w:pPr>
        </w:p>
      </w:tc>
    </w:tr>
  </w:tbl>
  <w:p w14:paraId="3E4C42A3" w14:textId="77777777" w:rsidR="000F18D4" w:rsidRDefault="000F18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4F8E"/>
    <w:multiLevelType w:val="hybridMultilevel"/>
    <w:tmpl w:val="193A224A"/>
    <w:lvl w:ilvl="0" w:tplc="0C0C0019">
      <w:start w:val="1"/>
      <w:numFmt w:val="lowerLetter"/>
      <w:lvlText w:val="%1."/>
      <w:lvlJc w:val="left"/>
      <w:pPr>
        <w:ind w:left="1080" w:hanging="360"/>
      </w:pPr>
      <w:rPr>
        <w:rFonts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
    <w:nsid w:val="158E19D3"/>
    <w:multiLevelType w:val="hybridMultilevel"/>
    <w:tmpl w:val="DF704C8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2EB76D01"/>
    <w:multiLevelType w:val="hybridMultilevel"/>
    <w:tmpl w:val="BA04A1AC"/>
    <w:lvl w:ilvl="0" w:tplc="0C0C0019">
      <w:start w:val="1"/>
      <w:numFmt w:val="low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4">
    <w:nsid w:val="5F24372B"/>
    <w:multiLevelType w:val="hybridMultilevel"/>
    <w:tmpl w:val="46F0D6F0"/>
    <w:lvl w:ilvl="0" w:tplc="8AD0DA2E">
      <w:start w:val="1"/>
      <w:numFmt w:val="bullet"/>
      <w:lvlText w:val="-"/>
      <w:lvlJc w:val="left"/>
      <w:pPr>
        <w:ind w:left="1938" w:hanging="360"/>
      </w:pPr>
      <w:rPr>
        <w:rFonts w:ascii="Arial" w:hAnsi="Arial" w:hint="default"/>
      </w:rPr>
    </w:lvl>
    <w:lvl w:ilvl="1" w:tplc="0C0C0003" w:tentative="1">
      <w:start w:val="1"/>
      <w:numFmt w:val="bullet"/>
      <w:lvlText w:val="o"/>
      <w:lvlJc w:val="left"/>
      <w:pPr>
        <w:ind w:left="2658" w:hanging="360"/>
      </w:pPr>
      <w:rPr>
        <w:rFonts w:ascii="Courier New" w:hAnsi="Courier New" w:cs="Courier New" w:hint="default"/>
      </w:rPr>
    </w:lvl>
    <w:lvl w:ilvl="2" w:tplc="0C0C0005" w:tentative="1">
      <w:start w:val="1"/>
      <w:numFmt w:val="bullet"/>
      <w:lvlText w:val=""/>
      <w:lvlJc w:val="left"/>
      <w:pPr>
        <w:ind w:left="3378" w:hanging="360"/>
      </w:pPr>
      <w:rPr>
        <w:rFonts w:ascii="Wingdings" w:hAnsi="Wingdings" w:hint="default"/>
      </w:rPr>
    </w:lvl>
    <w:lvl w:ilvl="3" w:tplc="0C0C0001" w:tentative="1">
      <w:start w:val="1"/>
      <w:numFmt w:val="bullet"/>
      <w:lvlText w:val=""/>
      <w:lvlJc w:val="left"/>
      <w:pPr>
        <w:ind w:left="4098" w:hanging="360"/>
      </w:pPr>
      <w:rPr>
        <w:rFonts w:ascii="Symbol" w:hAnsi="Symbol" w:hint="default"/>
      </w:rPr>
    </w:lvl>
    <w:lvl w:ilvl="4" w:tplc="0C0C0003" w:tentative="1">
      <w:start w:val="1"/>
      <w:numFmt w:val="bullet"/>
      <w:lvlText w:val="o"/>
      <w:lvlJc w:val="left"/>
      <w:pPr>
        <w:ind w:left="4818" w:hanging="360"/>
      </w:pPr>
      <w:rPr>
        <w:rFonts w:ascii="Courier New" w:hAnsi="Courier New" w:cs="Courier New" w:hint="default"/>
      </w:rPr>
    </w:lvl>
    <w:lvl w:ilvl="5" w:tplc="0C0C0005" w:tentative="1">
      <w:start w:val="1"/>
      <w:numFmt w:val="bullet"/>
      <w:lvlText w:val=""/>
      <w:lvlJc w:val="left"/>
      <w:pPr>
        <w:ind w:left="5538" w:hanging="360"/>
      </w:pPr>
      <w:rPr>
        <w:rFonts w:ascii="Wingdings" w:hAnsi="Wingdings" w:hint="default"/>
      </w:rPr>
    </w:lvl>
    <w:lvl w:ilvl="6" w:tplc="0C0C0001" w:tentative="1">
      <w:start w:val="1"/>
      <w:numFmt w:val="bullet"/>
      <w:lvlText w:val=""/>
      <w:lvlJc w:val="left"/>
      <w:pPr>
        <w:ind w:left="6258" w:hanging="360"/>
      </w:pPr>
      <w:rPr>
        <w:rFonts w:ascii="Symbol" w:hAnsi="Symbol" w:hint="default"/>
      </w:rPr>
    </w:lvl>
    <w:lvl w:ilvl="7" w:tplc="0C0C0003" w:tentative="1">
      <w:start w:val="1"/>
      <w:numFmt w:val="bullet"/>
      <w:lvlText w:val="o"/>
      <w:lvlJc w:val="left"/>
      <w:pPr>
        <w:ind w:left="6978" w:hanging="360"/>
      </w:pPr>
      <w:rPr>
        <w:rFonts w:ascii="Courier New" w:hAnsi="Courier New" w:cs="Courier New" w:hint="default"/>
      </w:rPr>
    </w:lvl>
    <w:lvl w:ilvl="8" w:tplc="0C0C0005" w:tentative="1">
      <w:start w:val="1"/>
      <w:numFmt w:val="bullet"/>
      <w:lvlText w:val=""/>
      <w:lvlJc w:val="left"/>
      <w:pPr>
        <w:ind w:left="7698" w:hanging="360"/>
      </w:pPr>
      <w:rPr>
        <w:rFonts w:ascii="Wingdings" w:hAnsi="Wingdings" w:hint="default"/>
      </w:rPr>
    </w:lvl>
  </w:abstractNum>
  <w:abstractNum w:abstractNumId="5">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nsid w:val="716800F8"/>
    <w:multiLevelType w:val="hybridMultilevel"/>
    <w:tmpl w:val="5B1E1C0A"/>
    <w:lvl w:ilvl="0" w:tplc="8AD0DA2E">
      <w:start w:val="1"/>
      <w:numFmt w:val="bullet"/>
      <w:lvlText w:val="-"/>
      <w:lvlJc w:val="left"/>
      <w:pPr>
        <w:ind w:left="1440" w:hanging="360"/>
      </w:pPr>
      <w:rPr>
        <w:rFonts w:ascii="Arial" w:hAnsi="Arial" w:hint="default"/>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nsid w:val="76556088"/>
    <w:multiLevelType w:val="multilevel"/>
    <w:tmpl w:val="B3649E02"/>
    <w:lvl w:ilvl="0">
      <w:start w:val="1"/>
      <w:numFmt w:val="decimal"/>
      <w:pStyle w:val="corpsdedcision"/>
      <w:lvlText w:val="[%1]"/>
      <w:lvlJc w:val="left"/>
      <w:pPr>
        <w:tabs>
          <w:tab w:val="num" w:pos="360"/>
        </w:tabs>
        <w:ind w:left="0" w:firstLine="0"/>
      </w:pPr>
    </w:lvl>
    <w:lvl w:ilvl="1">
      <w:start w:val="1"/>
      <w:numFmt w:val="bullet"/>
      <w:lvlText w:val="-"/>
      <w:lvlJc w:val="left"/>
      <w:pPr>
        <w:tabs>
          <w:tab w:val="num" w:pos="1080"/>
        </w:tabs>
        <w:ind w:left="360" w:firstLine="0"/>
      </w:pPr>
      <w:rPr>
        <w:rFonts w:ascii="Arial" w:hAnsi="Arial" w:hint="default"/>
      </w:r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9">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7FBD3FDB"/>
    <w:multiLevelType w:val="hybridMultilevel"/>
    <w:tmpl w:val="07D843C8"/>
    <w:lvl w:ilvl="0" w:tplc="0C0C0019">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8"/>
  </w:num>
  <w:num w:numId="2">
    <w:abstractNumId w:val="7"/>
  </w:num>
  <w:num w:numId="3">
    <w:abstractNumId w:val="9"/>
  </w:num>
  <w:num w:numId="4">
    <w:abstractNumId w:val="2"/>
  </w:num>
  <w:num w:numId="5">
    <w:abstractNumId w:val="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 w:numId="11">
    <w:abstractNumId w:val="10"/>
  </w:num>
  <w:num w:numId="12">
    <w:abstractNumId w:val="0"/>
  </w:num>
  <w:num w:numId="13">
    <w:abstractNumId w:val="8"/>
  </w:num>
  <w:num w:numId="14">
    <w:abstractNumId w:val="8"/>
  </w:num>
  <w:num w:numId="15">
    <w:abstractNumId w:val="8"/>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B0"/>
    <w:rsid w:val="000034B0"/>
    <w:rsid w:val="000041A1"/>
    <w:rsid w:val="00005D2E"/>
    <w:rsid w:val="00005E71"/>
    <w:rsid w:val="00011A50"/>
    <w:rsid w:val="00011B17"/>
    <w:rsid w:val="0001305E"/>
    <w:rsid w:val="00014059"/>
    <w:rsid w:val="00021B30"/>
    <w:rsid w:val="00021E4C"/>
    <w:rsid w:val="00022556"/>
    <w:rsid w:val="00023761"/>
    <w:rsid w:val="00023858"/>
    <w:rsid w:val="0003493F"/>
    <w:rsid w:val="000352CA"/>
    <w:rsid w:val="00035EB9"/>
    <w:rsid w:val="00036204"/>
    <w:rsid w:val="000366EC"/>
    <w:rsid w:val="00036E02"/>
    <w:rsid w:val="00043E4D"/>
    <w:rsid w:val="00050D0E"/>
    <w:rsid w:val="00050EA3"/>
    <w:rsid w:val="00051577"/>
    <w:rsid w:val="00056393"/>
    <w:rsid w:val="00064688"/>
    <w:rsid w:val="000670BD"/>
    <w:rsid w:val="00071D84"/>
    <w:rsid w:val="0007225E"/>
    <w:rsid w:val="00074EAE"/>
    <w:rsid w:val="00076D81"/>
    <w:rsid w:val="00080118"/>
    <w:rsid w:val="0008032A"/>
    <w:rsid w:val="00080885"/>
    <w:rsid w:val="00082A97"/>
    <w:rsid w:val="0008378A"/>
    <w:rsid w:val="00087477"/>
    <w:rsid w:val="0008784D"/>
    <w:rsid w:val="00090018"/>
    <w:rsid w:val="00090306"/>
    <w:rsid w:val="00093ACD"/>
    <w:rsid w:val="0009482F"/>
    <w:rsid w:val="00095814"/>
    <w:rsid w:val="00097D81"/>
    <w:rsid w:val="00097FCE"/>
    <w:rsid w:val="000A4AD0"/>
    <w:rsid w:val="000A5AD1"/>
    <w:rsid w:val="000A77C5"/>
    <w:rsid w:val="000A7C55"/>
    <w:rsid w:val="000B69A5"/>
    <w:rsid w:val="000B7F1B"/>
    <w:rsid w:val="000C710F"/>
    <w:rsid w:val="000D3948"/>
    <w:rsid w:val="000D489F"/>
    <w:rsid w:val="000E0C28"/>
    <w:rsid w:val="000E1320"/>
    <w:rsid w:val="000E3FF6"/>
    <w:rsid w:val="000E56A6"/>
    <w:rsid w:val="000F18D4"/>
    <w:rsid w:val="000F3423"/>
    <w:rsid w:val="000F5399"/>
    <w:rsid w:val="000F5F81"/>
    <w:rsid w:val="000F7A7D"/>
    <w:rsid w:val="001039A2"/>
    <w:rsid w:val="00104550"/>
    <w:rsid w:val="00104C3D"/>
    <w:rsid w:val="001050B4"/>
    <w:rsid w:val="00105B53"/>
    <w:rsid w:val="001143E0"/>
    <w:rsid w:val="001144AB"/>
    <w:rsid w:val="00114BED"/>
    <w:rsid w:val="00114F8F"/>
    <w:rsid w:val="0012224D"/>
    <w:rsid w:val="001225BC"/>
    <w:rsid w:val="00122A9E"/>
    <w:rsid w:val="00122F94"/>
    <w:rsid w:val="0012326A"/>
    <w:rsid w:val="001235C8"/>
    <w:rsid w:val="00137E7E"/>
    <w:rsid w:val="001407FC"/>
    <w:rsid w:val="00140813"/>
    <w:rsid w:val="00144572"/>
    <w:rsid w:val="00146D4D"/>
    <w:rsid w:val="00147A49"/>
    <w:rsid w:val="00147B8B"/>
    <w:rsid w:val="0015125A"/>
    <w:rsid w:val="00152464"/>
    <w:rsid w:val="0015539F"/>
    <w:rsid w:val="00160597"/>
    <w:rsid w:val="0016538B"/>
    <w:rsid w:val="001664C8"/>
    <w:rsid w:val="00167AD0"/>
    <w:rsid w:val="00167E9D"/>
    <w:rsid w:val="00171C9C"/>
    <w:rsid w:val="00173184"/>
    <w:rsid w:val="00175079"/>
    <w:rsid w:val="001756FC"/>
    <w:rsid w:val="00183515"/>
    <w:rsid w:val="0018779F"/>
    <w:rsid w:val="001932B1"/>
    <w:rsid w:val="001A03BE"/>
    <w:rsid w:val="001A067E"/>
    <w:rsid w:val="001A2900"/>
    <w:rsid w:val="001A4081"/>
    <w:rsid w:val="001A65F1"/>
    <w:rsid w:val="001B2B40"/>
    <w:rsid w:val="001B3E9D"/>
    <w:rsid w:val="001B4A40"/>
    <w:rsid w:val="001B5524"/>
    <w:rsid w:val="001B7D1D"/>
    <w:rsid w:val="001C19D4"/>
    <w:rsid w:val="001C2B0B"/>
    <w:rsid w:val="001C436D"/>
    <w:rsid w:val="001D1319"/>
    <w:rsid w:val="001D4DA0"/>
    <w:rsid w:val="001D65D8"/>
    <w:rsid w:val="001E07F4"/>
    <w:rsid w:val="001E42F0"/>
    <w:rsid w:val="001F3EA6"/>
    <w:rsid w:val="00202B5C"/>
    <w:rsid w:val="00204E1C"/>
    <w:rsid w:val="00210175"/>
    <w:rsid w:val="002124D5"/>
    <w:rsid w:val="002136E0"/>
    <w:rsid w:val="00213A5B"/>
    <w:rsid w:val="00214BAE"/>
    <w:rsid w:val="00221628"/>
    <w:rsid w:val="00226493"/>
    <w:rsid w:val="00227040"/>
    <w:rsid w:val="00230CFC"/>
    <w:rsid w:val="00231C1D"/>
    <w:rsid w:val="002345E7"/>
    <w:rsid w:val="002347AB"/>
    <w:rsid w:val="00241CED"/>
    <w:rsid w:val="00242FB4"/>
    <w:rsid w:val="00245605"/>
    <w:rsid w:val="00245DE7"/>
    <w:rsid w:val="002563F0"/>
    <w:rsid w:val="00256DBB"/>
    <w:rsid w:val="0026068F"/>
    <w:rsid w:val="00265D3B"/>
    <w:rsid w:val="00266064"/>
    <w:rsid w:val="00267635"/>
    <w:rsid w:val="00267C8D"/>
    <w:rsid w:val="002701DD"/>
    <w:rsid w:val="00273257"/>
    <w:rsid w:val="00273F49"/>
    <w:rsid w:val="002769B5"/>
    <w:rsid w:val="00276B59"/>
    <w:rsid w:val="00281319"/>
    <w:rsid w:val="00286149"/>
    <w:rsid w:val="0028668D"/>
    <w:rsid w:val="00290289"/>
    <w:rsid w:val="00291A81"/>
    <w:rsid w:val="00292188"/>
    <w:rsid w:val="002955AA"/>
    <w:rsid w:val="00296645"/>
    <w:rsid w:val="00296A4B"/>
    <w:rsid w:val="00297284"/>
    <w:rsid w:val="002A0077"/>
    <w:rsid w:val="002A07DC"/>
    <w:rsid w:val="002A3573"/>
    <w:rsid w:val="002A374B"/>
    <w:rsid w:val="002A6533"/>
    <w:rsid w:val="002A73E9"/>
    <w:rsid w:val="002B2FC3"/>
    <w:rsid w:val="002B35F0"/>
    <w:rsid w:val="002B58AF"/>
    <w:rsid w:val="002C12AA"/>
    <w:rsid w:val="002C3748"/>
    <w:rsid w:val="002C5E89"/>
    <w:rsid w:val="002C64F7"/>
    <w:rsid w:val="002D01DD"/>
    <w:rsid w:val="002D3292"/>
    <w:rsid w:val="002D42BC"/>
    <w:rsid w:val="002D71A9"/>
    <w:rsid w:val="002D7846"/>
    <w:rsid w:val="002D7FCB"/>
    <w:rsid w:val="002E05AE"/>
    <w:rsid w:val="002E081E"/>
    <w:rsid w:val="002E1384"/>
    <w:rsid w:val="002F4DB4"/>
    <w:rsid w:val="002F7507"/>
    <w:rsid w:val="00302BDA"/>
    <w:rsid w:val="00302FB4"/>
    <w:rsid w:val="00305273"/>
    <w:rsid w:val="003057FC"/>
    <w:rsid w:val="00307C85"/>
    <w:rsid w:val="00310637"/>
    <w:rsid w:val="00310A13"/>
    <w:rsid w:val="00312983"/>
    <w:rsid w:val="00312F03"/>
    <w:rsid w:val="003248CB"/>
    <w:rsid w:val="00331EA7"/>
    <w:rsid w:val="003332B8"/>
    <w:rsid w:val="0033472E"/>
    <w:rsid w:val="00336CC0"/>
    <w:rsid w:val="00337555"/>
    <w:rsid w:val="00344465"/>
    <w:rsid w:val="00346FF7"/>
    <w:rsid w:val="0034740A"/>
    <w:rsid w:val="00352DFC"/>
    <w:rsid w:val="00353058"/>
    <w:rsid w:val="0035375B"/>
    <w:rsid w:val="00360EBE"/>
    <w:rsid w:val="00362D74"/>
    <w:rsid w:val="003664E9"/>
    <w:rsid w:val="00366D1E"/>
    <w:rsid w:val="0037112C"/>
    <w:rsid w:val="00373308"/>
    <w:rsid w:val="00373EE5"/>
    <w:rsid w:val="003817E7"/>
    <w:rsid w:val="00382E55"/>
    <w:rsid w:val="00390606"/>
    <w:rsid w:val="00390B55"/>
    <w:rsid w:val="00392E7F"/>
    <w:rsid w:val="003961B2"/>
    <w:rsid w:val="003A15B6"/>
    <w:rsid w:val="003A2C97"/>
    <w:rsid w:val="003A3027"/>
    <w:rsid w:val="003A41AD"/>
    <w:rsid w:val="003A4C2B"/>
    <w:rsid w:val="003A5BFF"/>
    <w:rsid w:val="003B152B"/>
    <w:rsid w:val="003B1643"/>
    <w:rsid w:val="003B1734"/>
    <w:rsid w:val="003B1735"/>
    <w:rsid w:val="003B6CBF"/>
    <w:rsid w:val="003C47A7"/>
    <w:rsid w:val="003D0826"/>
    <w:rsid w:val="003D18FC"/>
    <w:rsid w:val="003D3C93"/>
    <w:rsid w:val="003E00D5"/>
    <w:rsid w:val="003E02BA"/>
    <w:rsid w:val="003E43C1"/>
    <w:rsid w:val="003F0578"/>
    <w:rsid w:val="003F45BB"/>
    <w:rsid w:val="003F79F1"/>
    <w:rsid w:val="003F7F38"/>
    <w:rsid w:val="00400FA4"/>
    <w:rsid w:val="00402B4C"/>
    <w:rsid w:val="0040399B"/>
    <w:rsid w:val="00403E9C"/>
    <w:rsid w:val="00406F0C"/>
    <w:rsid w:val="00411251"/>
    <w:rsid w:val="00412585"/>
    <w:rsid w:val="0041363B"/>
    <w:rsid w:val="00415D5D"/>
    <w:rsid w:val="004208EF"/>
    <w:rsid w:val="004232E9"/>
    <w:rsid w:val="0042650F"/>
    <w:rsid w:val="0042684F"/>
    <w:rsid w:val="00427D5D"/>
    <w:rsid w:val="00431393"/>
    <w:rsid w:val="00431E0B"/>
    <w:rsid w:val="004337FE"/>
    <w:rsid w:val="00433E98"/>
    <w:rsid w:val="00435738"/>
    <w:rsid w:val="00437137"/>
    <w:rsid w:val="0043786D"/>
    <w:rsid w:val="004403B8"/>
    <w:rsid w:val="00441ADA"/>
    <w:rsid w:val="004422CA"/>
    <w:rsid w:val="0044371C"/>
    <w:rsid w:val="00444B79"/>
    <w:rsid w:val="0044627E"/>
    <w:rsid w:val="004500F2"/>
    <w:rsid w:val="0045114F"/>
    <w:rsid w:val="004529D3"/>
    <w:rsid w:val="00453F31"/>
    <w:rsid w:val="00456B0C"/>
    <w:rsid w:val="00457EF5"/>
    <w:rsid w:val="00463A04"/>
    <w:rsid w:val="0046538B"/>
    <w:rsid w:val="00467B21"/>
    <w:rsid w:val="00471C92"/>
    <w:rsid w:val="004739AC"/>
    <w:rsid w:val="00474489"/>
    <w:rsid w:val="00475FEF"/>
    <w:rsid w:val="0047776F"/>
    <w:rsid w:val="00477D71"/>
    <w:rsid w:val="004809E0"/>
    <w:rsid w:val="00482CAF"/>
    <w:rsid w:val="00482D5B"/>
    <w:rsid w:val="0048528F"/>
    <w:rsid w:val="004870EA"/>
    <w:rsid w:val="00487F13"/>
    <w:rsid w:val="0049595F"/>
    <w:rsid w:val="00496193"/>
    <w:rsid w:val="004A02AF"/>
    <w:rsid w:val="004A030F"/>
    <w:rsid w:val="004A19F1"/>
    <w:rsid w:val="004A4449"/>
    <w:rsid w:val="004A679B"/>
    <w:rsid w:val="004B5A98"/>
    <w:rsid w:val="004B6388"/>
    <w:rsid w:val="004C0FB4"/>
    <w:rsid w:val="004C1811"/>
    <w:rsid w:val="004C26F0"/>
    <w:rsid w:val="004C2944"/>
    <w:rsid w:val="004C353A"/>
    <w:rsid w:val="004C4555"/>
    <w:rsid w:val="004C5EDD"/>
    <w:rsid w:val="004C7115"/>
    <w:rsid w:val="004D16D6"/>
    <w:rsid w:val="004D6CEA"/>
    <w:rsid w:val="004E3564"/>
    <w:rsid w:val="004E51C0"/>
    <w:rsid w:val="004E64BE"/>
    <w:rsid w:val="004F6293"/>
    <w:rsid w:val="00503033"/>
    <w:rsid w:val="00503B8D"/>
    <w:rsid w:val="00503EE3"/>
    <w:rsid w:val="00504A76"/>
    <w:rsid w:val="00505811"/>
    <w:rsid w:val="0051261C"/>
    <w:rsid w:val="00515DE7"/>
    <w:rsid w:val="00517EB0"/>
    <w:rsid w:val="005205CB"/>
    <w:rsid w:val="00521EDC"/>
    <w:rsid w:val="00524E49"/>
    <w:rsid w:val="005348E4"/>
    <w:rsid w:val="00534BB7"/>
    <w:rsid w:val="005352F1"/>
    <w:rsid w:val="00535864"/>
    <w:rsid w:val="00540094"/>
    <w:rsid w:val="00545CFF"/>
    <w:rsid w:val="005467D7"/>
    <w:rsid w:val="00550E08"/>
    <w:rsid w:val="00555800"/>
    <w:rsid w:val="00556DBB"/>
    <w:rsid w:val="00560781"/>
    <w:rsid w:val="0056268F"/>
    <w:rsid w:val="00562F68"/>
    <w:rsid w:val="005662E9"/>
    <w:rsid w:val="00567F87"/>
    <w:rsid w:val="005700F8"/>
    <w:rsid w:val="00572AAF"/>
    <w:rsid w:val="005801AE"/>
    <w:rsid w:val="00582868"/>
    <w:rsid w:val="00582ECC"/>
    <w:rsid w:val="0058399B"/>
    <w:rsid w:val="0058692F"/>
    <w:rsid w:val="00586E52"/>
    <w:rsid w:val="00587045"/>
    <w:rsid w:val="00587C22"/>
    <w:rsid w:val="005907BE"/>
    <w:rsid w:val="0059436D"/>
    <w:rsid w:val="005945C0"/>
    <w:rsid w:val="00597016"/>
    <w:rsid w:val="005974B7"/>
    <w:rsid w:val="005A0D51"/>
    <w:rsid w:val="005A181B"/>
    <w:rsid w:val="005A1CB3"/>
    <w:rsid w:val="005A3073"/>
    <w:rsid w:val="005A33A5"/>
    <w:rsid w:val="005A392F"/>
    <w:rsid w:val="005A70A0"/>
    <w:rsid w:val="005B0612"/>
    <w:rsid w:val="005B13F0"/>
    <w:rsid w:val="005B2E0C"/>
    <w:rsid w:val="005B30F6"/>
    <w:rsid w:val="005B45BA"/>
    <w:rsid w:val="005B4D79"/>
    <w:rsid w:val="005B5689"/>
    <w:rsid w:val="005B6680"/>
    <w:rsid w:val="005B6774"/>
    <w:rsid w:val="005B6DBD"/>
    <w:rsid w:val="005C0A89"/>
    <w:rsid w:val="005C3BC4"/>
    <w:rsid w:val="005C4A77"/>
    <w:rsid w:val="005C515B"/>
    <w:rsid w:val="005C65B2"/>
    <w:rsid w:val="005D26CC"/>
    <w:rsid w:val="005D59B1"/>
    <w:rsid w:val="005D764B"/>
    <w:rsid w:val="005E0C73"/>
    <w:rsid w:val="005E2367"/>
    <w:rsid w:val="005E2415"/>
    <w:rsid w:val="005E38B9"/>
    <w:rsid w:val="005E5E90"/>
    <w:rsid w:val="005E654C"/>
    <w:rsid w:val="005F05F6"/>
    <w:rsid w:val="005F613F"/>
    <w:rsid w:val="00603055"/>
    <w:rsid w:val="00603738"/>
    <w:rsid w:val="00605734"/>
    <w:rsid w:val="0061488E"/>
    <w:rsid w:val="0061574B"/>
    <w:rsid w:val="00622670"/>
    <w:rsid w:val="0062299D"/>
    <w:rsid w:val="00623A1A"/>
    <w:rsid w:val="00625D65"/>
    <w:rsid w:val="0062688C"/>
    <w:rsid w:val="00626E8D"/>
    <w:rsid w:val="0063156B"/>
    <w:rsid w:val="00631E9E"/>
    <w:rsid w:val="006326A9"/>
    <w:rsid w:val="00632DA8"/>
    <w:rsid w:val="00634E6E"/>
    <w:rsid w:val="00635A4B"/>
    <w:rsid w:val="0064342A"/>
    <w:rsid w:val="00643A28"/>
    <w:rsid w:val="00643FBB"/>
    <w:rsid w:val="006452FA"/>
    <w:rsid w:val="0065093D"/>
    <w:rsid w:val="00652A16"/>
    <w:rsid w:val="00655193"/>
    <w:rsid w:val="00655459"/>
    <w:rsid w:val="00656FB2"/>
    <w:rsid w:val="006576BD"/>
    <w:rsid w:val="00657A70"/>
    <w:rsid w:val="00661454"/>
    <w:rsid w:val="006620AA"/>
    <w:rsid w:val="0066642D"/>
    <w:rsid w:val="00670FF3"/>
    <w:rsid w:val="0067454B"/>
    <w:rsid w:val="00675B7F"/>
    <w:rsid w:val="00675E85"/>
    <w:rsid w:val="0067750F"/>
    <w:rsid w:val="00681396"/>
    <w:rsid w:val="0068171F"/>
    <w:rsid w:val="0068401E"/>
    <w:rsid w:val="006841A4"/>
    <w:rsid w:val="0068643F"/>
    <w:rsid w:val="006877A1"/>
    <w:rsid w:val="00691F81"/>
    <w:rsid w:val="00692150"/>
    <w:rsid w:val="00692F0C"/>
    <w:rsid w:val="006930FA"/>
    <w:rsid w:val="00694547"/>
    <w:rsid w:val="00696AB9"/>
    <w:rsid w:val="00696E7C"/>
    <w:rsid w:val="006A0BF8"/>
    <w:rsid w:val="006A0C54"/>
    <w:rsid w:val="006A2C41"/>
    <w:rsid w:val="006A553C"/>
    <w:rsid w:val="006A7C53"/>
    <w:rsid w:val="006B140A"/>
    <w:rsid w:val="006B309C"/>
    <w:rsid w:val="006B727F"/>
    <w:rsid w:val="006C3BDF"/>
    <w:rsid w:val="006C3FFD"/>
    <w:rsid w:val="006C6D3A"/>
    <w:rsid w:val="006C76E3"/>
    <w:rsid w:val="006C793B"/>
    <w:rsid w:val="006C797A"/>
    <w:rsid w:val="006C7B36"/>
    <w:rsid w:val="006C7B7F"/>
    <w:rsid w:val="006D117A"/>
    <w:rsid w:val="006D19E8"/>
    <w:rsid w:val="006D2EB7"/>
    <w:rsid w:val="006D33D8"/>
    <w:rsid w:val="006E04B5"/>
    <w:rsid w:val="006E330C"/>
    <w:rsid w:val="006E3DD4"/>
    <w:rsid w:val="006E3DD8"/>
    <w:rsid w:val="006E793F"/>
    <w:rsid w:val="006F0154"/>
    <w:rsid w:val="006F608D"/>
    <w:rsid w:val="006F7540"/>
    <w:rsid w:val="006F7944"/>
    <w:rsid w:val="00701C38"/>
    <w:rsid w:val="007034BF"/>
    <w:rsid w:val="00704121"/>
    <w:rsid w:val="0070439D"/>
    <w:rsid w:val="00705BB5"/>
    <w:rsid w:val="0071326F"/>
    <w:rsid w:val="00714F93"/>
    <w:rsid w:val="007153D7"/>
    <w:rsid w:val="00720ED4"/>
    <w:rsid w:val="00733157"/>
    <w:rsid w:val="00735957"/>
    <w:rsid w:val="007443F2"/>
    <w:rsid w:val="0074488F"/>
    <w:rsid w:val="00745AA8"/>
    <w:rsid w:val="007503E0"/>
    <w:rsid w:val="007510EC"/>
    <w:rsid w:val="0075233C"/>
    <w:rsid w:val="0075256A"/>
    <w:rsid w:val="00752DCD"/>
    <w:rsid w:val="007569DE"/>
    <w:rsid w:val="0075723C"/>
    <w:rsid w:val="00762E92"/>
    <w:rsid w:val="00775BDF"/>
    <w:rsid w:val="0077614D"/>
    <w:rsid w:val="00777B07"/>
    <w:rsid w:val="00782C8F"/>
    <w:rsid w:val="00785F78"/>
    <w:rsid w:val="0078659D"/>
    <w:rsid w:val="007869EC"/>
    <w:rsid w:val="007874AE"/>
    <w:rsid w:val="0079451E"/>
    <w:rsid w:val="007979F3"/>
    <w:rsid w:val="007A1E58"/>
    <w:rsid w:val="007A40B4"/>
    <w:rsid w:val="007A5C7E"/>
    <w:rsid w:val="007A6E2F"/>
    <w:rsid w:val="007B0DF2"/>
    <w:rsid w:val="007B3BC5"/>
    <w:rsid w:val="007B46C5"/>
    <w:rsid w:val="007B7C04"/>
    <w:rsid w:val="007C57AB"/>
    <w:rsid w:val="007D03DF"/>
    <w:rsid w:val="007D363B"/>
    <w:rsid w:val="007D4953"/>
    <w:rsid w:val="007D50F4"/>
    <w:rsid w:val="007D7173"/>
    <w:rsid w:val="007E1216"/>
    <w:rsid w:val="007E44CA"/>
    <w:rsid w:val="007E4CD4"/>
    <w:rsid w:val="007E4DAC"/>
    <w:rsid w:val="007E530C"/>
    <w:rsid w:val="007F0E8E"/>
    <w:rsid w:val="007F2005"/>
    <w:rsid w:val="007F2149"/>
    <w:rsid w:val="007F349E"/>
    <w:rsid w:val="007F4E00"/>
    <w:rsid w:val="008048CF"/>
    <w:rsid w:val="008079DD"/>
    <w:rsid w:val="0081130F"/>
    <w:rsid w:val="00813095"/>
    <w:rsid w:val="00813099"/>
    <w:rsid w:val="008145AD"/>
    <w:rsid w:val="008146B2"/>
    <w:rsid w:val="00821C9E"/>
    <w:rsid w:val="00824430"/>
    <w:rsid w:val="00825B1F"/>
    <w:rsid w:val="00827D55"/>
    <w:rsid w:val="00837944"/>
    <w:rsid w:val="00840EDD"/>
    <w:rsid w:val="0084255F"/>
    <w:rsid w:val="008477D1"/>
    <w:rsid w:val="00854FB3"/>
    <w:rsid w:val="00860F13"/>
    <w:rsid w:val="00861F8B"/>
    <w:rsid w:val="0086561F"/>
    <w:rsid w:val="00865A7A"/>
    <w:rsid w:val="00865FE1"/>
    <w:rsid w:val="0087069B"/>
    <w:rsid w:val="008748C7"/>
    <w:rsid w:val="0087521A"/>
    <w:rsid w:val="0088089A"/>
    <w:rsid w:val="008808C0"/>
    <w:rsid w:val="00880B8B"/>
    <w:rsid w:val="00890BDE"/>
    <w:rsid w:val="00892AD3"/>
    <w:rsid w:val="008962E7"/>
    <w:rsid w:val="008A1118"/>
    <w:rsid w:val="008A281F"/>
    <w:rsid w:val="008A3107"/>
    <w:rsid w:val="008A48D2"/>
    <w:rsid w:val="008A4AF6"/>
    <w:rsid w:val="008A4FF8"/>
    <w:rsid w:val="008A5081"/>
    <w:rsid w:val="008A5ED1"/>
    <w:rsid w:val="008A73CE"/>
    <w:rsid w:val="008A7FD1"/>
    <w:rsid w:val="008B042E"/>
    <w:rsid w:val="008B0C8C"/>
    <w:rsid w:val="008B17EF"/>
    <w:rsid w:val="008B211E"/>
    <w:rsid w:val="008B6D48"/>
    <w:rsid w:val="008C05EA"/>
    <w:rsid w:val="008C66BB"/>
    <w:rsid w:val="008C7660"/>
    <w:rsid w:val="008C79A7"/>
    <w:rsid w:val="008D5521"/>
    <w:rsid w:val="008D555F"/>
    <w:rsid w:val="008D58C6"/>
    <w:rsid w:val="008D625D"/>
    <w:rsid w:val="008D650E"/>
    <w:rsid w:val="008D79A7"/>
    <w:rsid w:val="008E15E6"/>
    <w:rsid w:val="008E6A41"/>
    <w:rsid w:val="008F15D5"/>
    <w:rsid w:val="008F2330"/>
    <w:rsid w:val="008F44FD"/>
    <w:rsid w:val="008F6B54"/>
    <w:rsid w:val="00903990"/>
    <w:rsid w:val="009042A8"/>
    <w:rsid w:val="00904950"/>
    <w:rsid w:val="0091082D"/>
    <w:rsid w:val="00912A43"/>
    <w:rsid w:val="00915E5E"/>
    <w:rsid w:val="009166B8"/>
    <w:rsid w:val="00917915"/>
    <w:rsid w:val="00920684"/>
    <w:rsid w:val="009216E6"/>
    <w:rsid w:val="00922DB7"/>
    <w:rsid w:val="0092684A"/>
    <w:rsid w:val="00927C93"/>
    <w:rsid w:val="00931AD4"/>
    <w:rsid w:val="00935ED2"/>
    <w:rsid w:val="00937FAB"/>
    <w:rsid w:val="0094094D"/>
    <w:rsid w:val="00942AB8"/>
    <w:rsid w:val="0094548C"/>
    <w:rsid w:val="00945CAF"/>
    <w:rsid w:val="00946AC9"/>
    <w:rsid w:val="00947448"/>
    <w:rsid w:val="00952B38"/>
    <w:rsid w:val="00952C99"/>
    <w:rsid w:val="00953912"/>
    <w:rsid w:val="00960E79"/>
    <w:rsid w:val="00965333"/>
    <w:rsid w:val="00965E51"/>
    <w:rsid w:val="00967ACE"/>
    <w:rsid w:val="009712EF"/>
    <w:rsid w:val="009727BF"/>
    <w:rsid w:val="00973321"/>
    <w:rsid w:val="00973E17"/>
    <w:rsid w:val="00975C2E"/>
    <w:rsid w:val="00977270"/>
    <w:rsid w:val="009824F2"/>
    <w:rsid w:val="00982D25"/>
    <w:rsid w:val="00983080"/>
    <w:rsid w:val="009848C8"/>
    <w:rsid w:val="00986AA3"/>
    <w:rsid w:val="00991BD0"/>
    <w:rsid w:val="00993B24"/>
    <w:rsid w:val="0099611F"/>
    <w:rsid w:val="00997624"/>
    <w:rsid w:val="009A083F"/>
    <w:rsid w:val="009A135C"/>
    <w:rsid w:val="009A53E1"/>
    <w:rsid w:val="009A67E7"/>
    <w:rsid w:val="009B0382"/>
    <w:rsid w:val="009B24B2"/>
    <w:rsid w:val="009B25F9"/>
    <w:rsid w:val="009C030D"/>
    <w:rsid w:val="009C174A"/>
    <w:rsid w:val="009C5CA7"/>
    <w:rsid w:val="009C603A"/>
    <w:rsid w:val="009C74CD"/>
    <w:rsid w:val="009D048F"/>
    <w:rsid w:val="009D0C65"/>
    <w:rsid w:val="009D162F"/>
    <w:rsid w:val="009D401F"/>
    <w:rsid w:val="009D5720"/>
    <w:rsid w:val="009D6686"/>
    <w:rsid w:val="009D68FA"/>
    <w:rsid w:val="009E32CF"/>
    <w:rsid w:val="009E4FC2"/>
    <w:rsid w:val="009F0305"/>
    <w:rsid w:val="009F44AE"/>
    <w:rsid w:val="009F75F0"/>
    <w:rsid w:val="00A02529"/>
    <w:rsid w:val="00A02EF2"/>
    <w:rsid w:val="00A045BA"/>
    <w:rsid w:val="00A04D5E"/>
    <w:rsid w:val="00A07781"/>
    <w:rsid w:val="00A10DDF"/>
    <w:rsid w:val="00A11172"/>
    <w:rsid w:val="00A1131C"/>
    <w:rsid w:val="00A1219E"/>
    <w:rsid w:val="00A12E55"/>
    <w:rsid w:val="00A12F12"/>
    <w:rsid w:val="00A1455C"/>
    <w:rsid w:val="00A1675E"/>
    <w:rsid w:val="00A22BB4"/>
    <w:rsid w:val="00A2411A"/>
    <w:rsid w:val="00A242E4"/>
    <w:rsid w:val="00A24437"/>
    <w:rsid w:val="00A24CA0"/>
    <w:rsid w:val="00A33601"/>
    <w:rsid w:val="00A3362A"/>
    <w:rsid w:val="00A37B70"/>
    <w:rsid w:val="00A40AC7"/>
    <w:rsid w:val="00A435C7"/>
    <w:rsid w:val="00A474E1"/>
    <w:rsid w:val="00A47AA2"/>
    <w:rsid w:val="00A52863"/>
    <w:rsid w:val="00A54636"/>
    <w:rsid w:val="00A569B2"/>
    <w:rsid w:val="00A5772C"/>
    <w:rsid w:val="00A611A4"/>
    <w:rsid w:val="00A61F09"/>
    <w:rsid w:val="00A6300A"/>
    <w:rsid w:val="00A6695B"/>
    <w:rsid w:val="00A72703"/>
    <w:rsid w:val="00A727F6"/>
    <w:rsid w:val="00A72E71"/>
    <w:rsid w:val="00A7373A"/>
    <w:rsid w:val="00A76432"/>
    <w:rsid w:val="00A770C0"/>
    <w:rsid w:val="00A83BF4"/>
    <w:rsid w:val="00A84FC6"/>
    <w:rsid w:val="00A8528E"/>
    <w:rsid w:val="00A861FC"/>
    <w:rsid w:val="00A86409"/>
    <w:rsid w:val="00A90BD9"/>
    <w:rsid w:val="00A94984"/>
    <w:rsid w:val="00A94A49"/>
    <w:rsid w:val="00A95C5E"/>
    <w:rsid w:val="00AA1815"/>
    <w:rsid w:val="00AA1D3E"/>
    <w:rsid w:val="00AA39F9"/>
    <w:rsid w:val="00AA3F82"/>
    <w:rsid w:val="00AA7531"/>
    <w:rsid w:val="00AA79D3"/>
    <w:rsid w:val="00AB0850"/>
    <w:rsid w:val="00AB0931"/>
    <w:rsid w:val="00AB5C9B"/>
    <w:rsid w:val="00AC0276"/>
    <w:rsid w:val="00AC0312"/>
    <w:rsid w:val="00AC0449"/>
    <w:rsid w:val="00AC0DC3"/>
    <w:rsid w:val="00AC17DA"/>
    <w:rsid w:val="00AC41C8"/>
    <w:rsid w:val="00AC5BBF"/>
    <w:rsid w:val="00AC5FD8"/>
    <w:rsid w:val="00AD103E"/>
    <w:rsid w:val="00AD1CA2"/>
    <w:rsid w:val="00AD2497"/>
    <w:rsid w:val="00AD5EB4"/>
    <w:rsid w:val="00AD667B"/>
    <w:rsid w:val="00AE2949"/>
    <w:rsid w:val="00AE63E2"/>
    <w:rsid w:val="00AF04C9"/>
    <w:rsid w:val="00AF1DC4"/>
    <w:rsid w:val="00AF26B6"/>
    <w:rsid w:val="00AF2979"/>
    <w:rsid w:val="00AF3189"/>
    <w:rsid w:val="00AF7BCA"/>
    <w:rsid w:val="00B025AE"/>
    <w:rsid w:val="00B0375C"/>
    <w:rsid w:val="00B03939"/>
    <w:rsid w:val="00B052CB"/>
    <w:rsid w:val="00B156C3"/>
    <w:rsid w:val="00B15F67"/>
    <w:rsid w:val="00B1624F"/>
    <w:rsid w:val="00B20F5D"/>
    <w:rsid w:val="00B21184"/>
    <w:rsid w:val="00B21711"/>
    <w:rsid w:val="00B224C5"/>
    <w:rsid w:val="00B27F22"/>
    <w:rsid w:val="00B30728"/>
    <w:rsid w:val="00B325CD"/>
    <w:rsid w:val="00B4151C"/>
    <w:rsid w:val="00B4561E"/>
    <w:rsid w:val="00B4768D"/>
    <w:rsid w:val="00B518E5"/>
    <w:rsid w:val="00B51E1F"/>
    <w:rsid w:val="00B52840"/>
    <w:rsid w:val="00B57032"/>
    <w:rsid w:val="00B60222"/>
    <w:rsid w:val="00B62CFB"/>
    <w:rsid w:val="00B65049"/>
    <w:rsid w:val="00B662F5"/>
    <w:rsid w:val="00B6773E"/>
    <w:rsid w:val="00B7000C"/>
    <w:rsid w:val="00B737F0"/>
    <w:rsid w:val="00B756BB"/>
    <w:rsid w:val="00B760D5"/>
    <w:rsid w:val="00B83B2C"/>
    <w:rsid w:val="00B84774"/>
    <w:rsid w:val="00B91595"/>
    <w:rsid w:val="00B92049"/>
    <w:rsid w:val="00B946D6"/>
    <w:rsid w:val="00B94740"/>
    <w:rsid w:val="00B95002"/>
    <w:rsid w:val="00B95BBA"/>
    <w:rsid w:val="00B976B4"/>
    <w:rsid w:val="00B97F75"/>
    <w:rsid w:val="00BA0A4F"/>
    <w:rsid w:val="00BA1CAE"/>
    <w:rsid w:val="00BA33BB"/>
    <w:rsid w:val="00BA4580"/>
    <w:rsid w:val="00BA4830"/>
    <w:rsid w:val="00BA6E22"/>
    <w:rsid w:val="00BA70C7"/>
    <w:rsid w:val="00BB362C"/>
    <w:rsid w:val="00BB5942"/>
    <w:rsid w:val="00BB6124"/>
    <w:rsid w:val="00BC0A03"/>
    <w:rsid w:val="00BC4166"/>
    <w:rsid w:val="00BC5BB4"/>
    <w:rsid w:val="00BD1069"/>
    <w:rsid w:val="00BD4139"/>
    <w:rsid w:val="00BE059A"/>
    <w:rsid w:val="00BE1981"/>
    <w:rsid w:val="00BE2DA6"/>
    <w:rsid w:val="00BE320B"/>
    <w:rsid w:val="00BE56E9"/>
    <w:rsid w:val="00BE63CF"/>
    <w:rsid w:val="00BE7014"/>
    <w:rsid w:val="00BE7991"/>
    <w:rsid w:val="00BF25C7"/>
    <w:rsid w:val="00BF477B"/>
    <w:rsid w:val="00C009B7"/>
    <w:rsid w:val="00C020D5"/>
    <w:rsid w:val="00C04E32"/>
    <w:rsid w:val="00C116B1"/>
    <w:rsid w:val="00C12EE5"/>
    <w:rsid w:val="00C143FB"/>
    <w:rsid w:val="00C15A3F"/>
    <w:rsid w:val="00C20630"/>
    <w:rsid w:val="00C224A4"/>
    <w:rsid w:val="00C22F7A"/>
    <w:rsid w:val="00C2309A"/>
    <w:rsid w:val="00C2666F"/>
    <w:rsid w:val="00C32020"/>
    <w:rsid w:val="00C32D02"/>
    <w:rsid w:val="00C3408C"/>
    <w:rsid w:val="00C3484D"/>
    <w:rsid w:val="00C351CC"/>
    <w:rsid w:val="00C35435"/>
    <w:rsid w:val="00C367D6"/>
    <w:rsid w:val="00C432FD"/>
    <w:rsid w:val="00C43CDF"/>
    <w:rsid w:val="00C4650D"/>
    <w:rsid w:val="00C512B2"/>
    <w:rsid w:val="00C5289D"/>
    <w:rsid w:val="00C60563"/>
    <w:rsid w:val="00C61D56"/>
    <w:rsid w:val="00C62B69"/>
    <w:rsid w:val="00C63CA8"/>
    <w:rsid w:val="00C644B7"/>
    <w:rsid w:val="00C64564"/>
    <w:rsid w:val="00C67357"/>
    <w:rsid w:val="00C739E7"/>
    <w:rsid w:val="00C73C87"/>
    <w:rsid w:val="00C74B6F"/>
    <w:rsid w:val="00C75E09"/>
    <w:rsid w:val="00C768A4"/>
    <w:rsid w:val="00C8354C"/>
    <w:rsid w:val="00C847C5"/>
    <w:rsid w:val="00C859E2"/>
    <w:rsid w:val="00C87EF3"/>
    <w:rsid w:val="00C9015F"/>
    <w:rsid w:val="00C912F9"/>
    <w:rsid w:val="00C9241B"/>
    <w:rsid w:val="00C96C15"/>
    <w:rsid w:val="00C96DDF"/>
    <w:rsid w:val="00C97569"/>
    <w:rsid w:val="00CA199D"/>
    <w:rsid w:val="00CA4D9C"/>
    <w:rsid w:val="00CB05A7"/>
    <w:rsid w:val="00CB06A4"/>
    <w:rsid w:val="00CB325B"/>
    <w:rsid w:val="00CB62BA"/>
    <w:rsid w:val="00CB64FF"/>
    <w:rsid w:val="00CB7078"/>
    <w:rsid w:val="00CC014B"/>
    <w:rsid w:val="00CC21D8"/>
    <w:rsid w:val="00CC3369"/>
    <w:rsid w:val="00CC46B7"/>
    <w:rsid w:val="00CC5343"/>
    <w:rsid w:val="00CC6338"/>
    <w:rsid w:val="00CC78DE"/>
    <w:rsid w:val="00CD04D9"/>
    <w:rsid w:val="00CD0F93"/>
    <w:rsid w:val="00CD6D6E"/>
    <w:rsid w:val="00CD6F23"/>
    <w:rsid w:val="00CE04D1"/>
    <w:rsid w:val="00CE7301"/>
    <w:rsid w:val="00CF640B"/>
    <w:rsid w:val="00CF6B5A"/>
    <w:rsid w:val="00D027AF"/>
    <w:rsid w:val="00D0323E"/>
    <w:rsid w:val="00D06652"/>
    <w:rsid w:val="00D07FA6"/>
    <w:rsid w:val="00D16ADF"/>
    <w:rsid w:val="00D17C53"/>
    <w:rsid w:val="00D17D57"/>
    <w:rsid w:val="00D2341D"/>
    <w:rsid w:val="00D25E0E"/>
    <w:rsid w:val="00D302EB"/>
    <w:rsid w:val="00D31679"/>
    <w:rsid w:val="00D320C8"/>
    <w:rsid w:val="00D34AED"/>
    <w:rsid w:val="00D3672F"/>
    <w:rsid w:val="00D40ABA"/>
    <w:rsid w:val="00D40FE2"/>
    <w:rsid w:val="00D440FA"/>
    <w:rsid w:val="00D44BCF"/>
    <w:rsid w:val="00D45AE8"/>
    <w:rsid w:val="00D46E73"/>
    <w:rsid w:val="00D5548D"/>
    <w:rsid w:val="00D55D0E"/>
    <w:rsid w:val="00D60F81"/>
    <w:rsid w:val="00D630F7"/>
    <w:rsid w:val="00D63951"/>
    <w:rsid w:val="00D63BF2"/>
    <w:rsid w:val="00D67348"/>
    <w:rsid w:val="00D70A26"/>
    <w:rsid w:val="00D7359A"/>
    <w:rsid w:val="00D73BB4"/>
    <w:rsid w:val="00D75FEC"/>
    <w:rsid w:val="00D76A76"/>
    <w:rsid w:val="00D76B98"/>
    <w:rsid w:val="00D81D6F"/>
    <w:rsid w:val="00D81FF6"/>
    <w:rsid w:val="00D835A0"/>
    <w:rsid w:val="00D86F2C"/>
    <w:rsid w:val="00D87347"/>
    <w:rsid w:val="00D933EE"/>
    <w:rsid w:val="00D9600C"/>
    <w:rsid w:val="00DA0680"/>
    <w:rsid w:val="00DA0FA0"/>
    <w:rsid w:val="00DA36F6"/>
    <w:rsid w:val="00DB0C8D"/>
    <w:rsid w:val="00DB22A9"/>
    <w:rsid w:val="00DB45A8"/>
    <w:rsid w:val="00DC1611"/>
    <w:rsid w:val="00DD3C53"/>
    <w:rsid w:val="00DD49BF"/>
    <w:rsid w:val="00DE4C16"/>
    <w:rsid w:val="00DE745D"/>
    <w:rsid w:val="00DE76A8"/>
    <w:rsid w:val="00DE7D5B"/>
    <w:rsid w:val="00DF0774"/>
    <w:rsid w:val="00DF1036"/>
    <w:rsid w:val="00DF4644"/>
    <w:rsid w:val="00DF753B"/>
    <w:rsid w:val="00E012B4"/>
    <w:rsid w:val="00E03D11"/>
    <w:rsid w:val="00E05451"/>
    <w:rsid w:val="00E05651"/>
    <w:rsid w:val="00E07D5C"/>
    <w:rsid w:val="00E10ED5"/>
    <w:rsid w:val="00E11BA5"/>
    <w:rsid w:val="00E135B6"/>
    <w:rsid w:val="00E15B66"/>
    <w:rsid w:val="00E20425"/>
    <w:rsid w:val="00E22971"/>
    <w:rsid w:val="00E2374E"/>
    <w:rsid w:val="00E25DCB"/>
    <w:rsid w:val="00E27C4D"/>
    <w:rsid w:val="00E3025B"/>
    <w:rsid w:val="00E30A83"/>
    <w:rsid w:val="00E31656"/>
    <w:rsid w:val="00E31AA0"/>
    <w:rsid w:val="00E4156E"/>
    <w:rsid w:val="00E41F17"/>
    <w:rsid w:val="00E42C47"/>
    <w:rsid w:val="00E44D61"/>
    <w:rsid w:val="00E453F2"/>
    <w:rsid w:val="00E460AD"/>
    <w:rsid w:val="00E54636"/>
    <w:rsid w:val="00E54BB0"/>
    <w:rsid w:val="00E61925"/>
    <w:rsid w:val="00E6389B"/>
    <w:rsid w:val="00E65C0E"/>
    <w:rsid w:val="00E730FC"/>
    <w:rsid w:val="00E746F0"/>
    <w:rsid w:val="00E809B9"/>
    <w:rsid w:val="00E82A15"/>
    <w:rsid w:val="00E85445"/>
    <w:rsid w:val="00E85BBB"/>
    <w:rsid w:val="00E85FD8"/>
    <w:rsid w:val="00E87589"/>
    <w:rsid w:val="00E87BFA"/>
    <w:rsid w:val="00E91C99"/>
    <w:rsid w:val="00E938FF"/>
    <w:rsid w:val="00E93DFE"/>
    <w:rsid w:val="00E95D37"/>
    <w:rsid w:val="00E95EB5"/>
    <w:rsid w:val="00E971C5"/>
    <w:rsid w:val="00EA2124"/>
    <w:rsid w:val="00EA2B12"/>
    <w:rsid w:val="00EA34DC"/>
    <w:rsid w:val="00EA5017"/>
    <w:rsid w:val="00EA6BED"/>
    <w:rsid w:val="00EB14F0"/>
    <w:rsid w:val="00EB3844"/>
    <w:rsid w:val="00EB3B1E"/>
    <w:rsid w:val="00EB3CB5"/>
    <w:rsid w:val="00EB5A9F"/>
    <w:rsid w:val="00EB7CBC"/>
    <w:rsid w:val="00EC17BC"/>
    <w:rsid w:val="00EC573F"/>
    <w:rsid w:val="00EC5C8D"/>
    <w:rsid w:val="00ED106C"/>
    <w:rsid w:val="00ED2D34"/>
    <w:rsid w:val="00ED4805"/>
    <w:rsid w:val="00ED57F6"/>
    <w:rsid w:val="00ED6C51"/>
    <w:rsid w:val="00ED6DA1"/>
    <w:rsid w:val="00EE5779"/>
    <w:rsid w:val="00EF207D"/>
    <w:rsid w:val="00EF4258"/>
    <w:rsid w:val="00EF55CA"/>
    <w:rsid w:val="00EF6D31"/>
    <w:rsid w:val="00EF73DD"/>
    <w:rsid w:val="00EF7CA8"/>
    <w:rsid w:val="00F02237"/>
    <w:rsid w:val="00F079A6"/>
    <w:rsid w:val="00F10236"/>
    <w:rsid w:val="00F15811"/>
    <w:rsid w:val="00F22423"/>
    <w:rsid w:val="00F2384B"/>
    <w:rsid w:val="00F24C72"/>
    <w:rsid w:val="00F30040"/>
    <w:rsid w:val="00F31D22"/>
    <w:rsid w:val="00F348B2"/>
    <w:rsid w:val="00F34BF0"/>
    <w:rsid w:val="00F34ED8"/>
    <w:rsid w:val="00F4095A"/>
    <w:rsid w:val="00F45845"/>
    <w:rsid w:val="00F46A82"/>
    <w:rsid w:val="00F50189"/>
    <w:rsid w:val="00F508FC"/>
    <w:rsid w:val="00F510B7"/>
    <w:rsid w:val="00F5115E"/>
    <w:rsid w:val="00F515B8"/>
    <w:rsid w:val="00F53571"/>
    <w:rsid w:val="00F54044"/>
    <w:rsid w:val="00F566C3"/>
    <w:rsid w:val="00F576E7"/>
    <w:rsid w:val="00F61BF5"/>
    <w:rsid w:val="00F66D6D"/>
    <w:rsid w:val="00F703B2"/>
    <w:rsid w:val="00F7097A"/>
    <w:rsid w:val="00F71768"/>
    <w:rsid w:val="00F7387A"/>
    <w:rsid w:val="00F73D1C"/>
    <w:rsid w:val="00F7450E"/>
    <w:rsid w:val="00F763FC"/>
    <w:rsid w:val="00F772C1"/>
    <w:rsid w:val="00F8026D"/>
    <w:rsid w:val="00F8245F"/>
    <w:rsid w:val="00F82E40"/>
    <w:rsid w:val="00F855B4"/>
    <w:rsid w:val="00F9088A"/>
    <w:rsid w:val="00F91629"/>
    <w:rsid w:val="00F91E2A"/>
    <w:rsid w:val="00F95EE8"/>
    <w:rsid w:val="00F962D1"/>
    <w:rsid w:val="00F96C39"/>
    <w:rsid w:val="00F96E41"/>
    <w:rsid w:val="00FA153F"/>
    <w:rsid w:val="00FA1D78"/>
    <w:rsid w:val="00FA1F7E"/>
    <w:rsid w:val="00FA280F"/>
    <w:rsid w:val="00FA6A1C"/>
    <w:rsid w:val="00FA7F02"/>
    <w:rsid w:val="00FB2186"/>
    <w:rsid w:val="00FC0CC3"/>
    <w:rsid w:val="00FC6620"/>
    <w:rsid w:val="00FC7C4E"/>
    <w:rsid w:val="00FD0133"/>
    <w:rsid w:val="00FD25FE"/>
    <w:rsid w:val="00FD2885"/>
    <w:rsid w:val="00FD3F84"/>
    <w:rsid w:val="00FD6206"/>
    <w:rsid w:val="00FE1318"/>
    <w:rsid w:val="00FE208F"/>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14:docId w14:val="4059B0E5"/>
  <w15:docId w15:val="{3BAE0715-385A-4B1A-AFBC-9370104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38"/>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link w:val="Titre2Car"/>
    <w:uiPriority w:val="9"/>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uiPriority w:val="99"/>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link w:val="corpsdedcisionCar"/>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uiPriority w:val="99"/>
    <w:semiHidden/>
  </w:style>
  <w:style w:type="paragraph" w:styleId="En-tte">
    <w:name w:val="header"/>
    <w:basedOn w:val="Normal"/>
    <w:pPr>
      <w:tabs>
        <w:tab w:val="center" w:pos="4320"/>
        <w:tab w:val="right" w:pos="8640"/>
      </w:tabs>
    </w:pPr>
  </w:style>
  <w:style w:type="character" w:styleId="Numrodepage">
    <w:name w:val="page number"/>
    <w:rPr>
      <w:rFonts w:ascii="Arial" w:hAnsi="Arial"/>
      <w:sz w:val="24"/>
    </w:rPr>
  </w:style>
  <w:style w:type="paragraph" w:styleId="Pieddepage">
    <w:name w:val="footer"/>
    <w:basedOn w:val="Normal"/>
    <w:link w:val="PieddepageCar"/>
    <w:uiPriority w:val="99"/>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link w:val="Notedebasdepage"/>
    <w:uiPriority w:val="99"/>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8048CF"/>
    <w:pPr>
      <w:spacing w:before="0" w:after="0"/>
      <w:ind w:left="1440" w:right="1440"/>
    </w:pPr>
    <w:rPr>
      <w:sz w:val="18"/>
    </w:rPr>
  </w:style>
  <w:style w:type="character" w:customStyle="1" w:styleId="Citationintgre">
    <w:name w:val="Citation intégrée"/>
    <w:rsid w:val="006A7C53"/>
    <w:rPr>
      <w:rFonts w:ascii="Arial" w:hAnsi="Arial"/>
      <w:i/>
      <w:noProof w:val="0"/>
      <w:sz w:val="22"/>
      <w:lang w:val="fr-CA"/>
    </w:rPr>
  </w:style>
  <w:style w:type="paragraph" w:customStyle="1" w:styleId="Paragraphe">
    <w:name w:val="Paragraphe"/>
    <w:basedOn w:val="Normal"/>
    <w:rsid w:val="006A7C53"/>
    <w:pPr>
      <w:numPr>
        <w:numId w:val="3"/>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3"/>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locked/>
    <w:rsid w:val="00ED57F6"/>
    <w:rPr>
      <w:rFonts w:ascii="Arial" w:hAnsi="Arial" w:cs="Times New Roman"/>
      <w:sz w:val="24"/>
    </w:rPr>
  </w:style>
  <w:style w:type="character" w:styleId="Marquedecommentaire">
    <w:name w:val="annotation reference"/>
    <w:rsid w:val="00FA6A1C"/>
    <w:rPr>
      <w:sz w:val="16"/>
      <w:szCs w:val="16"/>
    </w:rPr>
  </w:style>
  <w:style w:type="paragraph" w:styleId="Commentaire">
    <w:name w:val="annotation text"/>
    <w:basedOn w:val="Normal"/>
    <w:link w:val="CommentaireCar"/>
    <w:rsid w:val="00FA6A1C"/>
    <w:rPr>
      <w:sz w:val="20"/>
    </w:rPr>
  </w:style>
  <w:style w:type="character" w:customStyle="1" w:styleId="CommentaireCar">
    <w:name w:val="Commentaire Car"/>
    <w:link w:val="Commentaire"/>
    <w:rsid w:val="00FA6A1C"/>
    <w:rPr>
      <w:rFonts w:ascii="Arial" w:hAnsi="Arial"/>
    </w:rPr>
  </w:style>
  <w:style w:type="paragraph" w:styleId="Objetducommentaire">
    <w:name w:val="annotation subject"/>
    <w:basedOn w:val="Commentaire"/>
    <w:next w:val="Commentaire"/>
    <w:link w:val="ObjetducommentaireCar"/>
    <w:rsid w:val="00FA6A1C"/>
    <w:rPr>
      <w:b/>
      <w:bCs/>
    </w:rPr>
  </w:style>
  <w:style w:type="character" w:customStyle="1" w:styleId="ObjetducommentaireCar">
    <w:name w:val="Objet du commentaire Car"/>
    <w:link w:val="Objetducommentaire"/>
    <w:rsid w:val="00FA6A1C"/>
    <w:rPr>
      <w:rFonts w:ascii="Arial" w:hAnsi="Arial"/>
      <w:b/>
      <w:bCs/>
    </w:rPr>
  </w:style>
  <w:style w:type="paragraph" w:styleId="Textedebulles">
    <w:name w:val="Balloon Text"/>
    <w:basedOn w:val="Normal"/>
    <w:link w:val="TextedebullesCar"/>
    <w:rsid w:val="00FA6A1C"/>
    <w:rPr>
      <w:rFonts w:ascii="Segoe UI" w:hAnsi="Segoe UI" w:cs="Segoe UI"/>
      <w:sz w:val="18"/>
      <w:szCs w:val="18"/>
    </w:rPr>
  </w:style>
  <w:style w:type="character" w:customStyle="1" w:styleId="TextedebullesCar">
    <w:name w:val="Texte de bulles Car"/>
    <w:link w:val="Textedebulles"/>
    <w:rsid w:val="00FA6A1C"/>
    <w:rPr>
      <w:rFonts w:ascii="Segoe UI" w:hAnsi="Segoe UI" w:cs="Segoe UI"/>
      <w:sz w:val="18"/>
      <w:szCs w:val="18"/>
    </w:rPr>
  </w:style>
  <w:style w:type="character" w:customStyle="1" w:styleId="corpsdedcisionCar">
    <w:name w:val="corps de décision Car"/>
    <w:link w:val="corpsdedcision"/>
    <w:locked/>
    <w:rsid w:val="006930FA"/>
    <w:rPr>
      <w:rFonts w:ascii="Arial" w:hAnsi="Arial"/>
      <w:sz w:val="24"/>
    </w:rPr>
  </w:style>
  <w:style w:type="paragraph" w:styleId="Citation0">
    <w:name w:val="Quote"/>
    <w:basedOn w:val="Normal"/>
    <w:next w:val="Normal"/>
    <w:link w:val="CitationCar"/>
    <w:uiPriority w:val="29"/>
    <w:qFormat/>
    <w:rsid w:val="00FC6620"/>
    <w:pPr>
      <w:spacing w:before="200" w:after="160"/>
      <w:ind w:left="864" w:right="864"/>
      <w:jc w:val="center"/>
    </w:pPr>
    <w:rPr>
      <w:rFonts w:ascii="Times New Roman" w:hAnsi="Times New Roman"/>
      <w:i/>
      <w:iCs/>
      <w:color w:val="404040"/>
      <w:szCs w:val="24"/>
    </w:rPr>
  </w:style>
  <w:style w:type="character" w:customStyle="1" w:styleId="CitationCar">
    <w:name w:val="Citation Car"/>
    <w:link w:val="Citation0"/>
    <w:uiPriority w:val="29"/>
    <w:rsid w:val="00FC6620"/>
    <w:rPr>
      <w:i/>
      <w:iCs/>
      <w:color w:val="404040"/>
      <w:sz w:val="24"/>
      <w:szCs w:val="24"/>
    </w:rPr>
  </w:style>
  <w:style w:type="paragraph" w:styleId="Notedefin">
    <w:name w:val="endnote text"/>
    <w:basedOn w:val="Normal"/>
    <w:link w:val="NotedefinCar"/>
    <w:rsid w:val="0026068F"/>
    <w:rPr>
      <w:sz w:val="20"/>
    </w:rPr>
  </w:style>
  <w:style w:type="character" w:customStyle="1" w:styleId="NotedefinCar">
    <w:name w:val="Note de fin Car"/>
    <w:link w:val="Notedefin"/>
    <w:rsid w:val="0026068F"/>
    <w:rPr>
      <w:rFonts w:ascii="Arial" w:hAnsi="Arial"/>
    </w:rPr>
  </w:style>
  <w:style w:type="character" w:styleId="Appeldenotedefin">
    <w:name w:val="endnote reference"/>
    <w:rsid w:val="0026068F"/>
    <w:rPr>
      <w:vertAlign w:val="superscript"/>
    </w:rPr>
  </w:style>
  <w:style w:type="character" w:customStyle="1" w:styleId="PieddepageCar">
    <w:name w:val="Pied de page Car"/>
    <w:link w:val="Pieddepage"/>
    <w:uiPriority w:val="99"/>
    <w:rsid w:val="00302BDA"/>
    <w:rPr>
      <w:rFonts w:ascii="Arial" w:hAnsi="Arial"/>
      <w:sz w:val="24"/>
    </w:rPr>
  </w:style>
  <w:style w:type="paragraph" w:styleId="Rvision">
    <w:name w:val="Revision"/>
    <w:hidden/>
    <w:uiPriority w:val="99"/>
    <w:semiHidden/>
    <w:rsid w:val="005E0C73"/>
    <w:rPr>
      <w:rFonts w:ascii="Arial" w:hAnsi="Arial"/>
      <w:sz w:val="24"/>
    </w:rPr>
  </w:style>
  <w:style w:type="character" w:customStyle="1" w:styleId="Titre2Car">
    <w:name w:val="Titre 2 Car"/>
    <w:link w:val="Titre2"/>
    <w:uiPriority w:val="9"/>
    <w:rsid w:val="00E22971"/>
    <w:rPr>
      <w:rFonts w:ascii="Arial" w:hAnsi="Arial" w:cs="Arial"/>
      <w:bCs/>
      <w:iCs/>
      <w:caps/>
      <w:sz w:val="24"/>
      <w:szCs w:val="28"/>
      <w:lang w:eastAsia="fr-FR"/>
    </w:rPr>
  </w:style>
  <w:style w:type="character" w:styleId="Textedelespacerserv">
    <w:name w:val="Placeholder Text"/>
    <w:uiPriority w:val="99"/>
    <w:semiHidden/>
    <w:rsid w:val="009B0382"/>
    <w:rPr>
      <w:color w:val="808080"/>
    </w:rPr>
  </w:style>
  <w:style w:type="character" w:customStyle="1" w:styleId="NotedebasdepageCar1">
    <w:name w:val="Note de bas de page Car1"/>
    <w:semiHidden/>
    <w:locked/>
    <w:rsid w:val="00E54BB0"/>
    <w:rPr>
      <w:rFonts w:ascii="Arial" w:hAnsi="Arial"/>
      <w:sz w:val="24"/>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73">
      <w:bodyDiv w:val="1"/>
      <w:marLeft w:val="0"/>
      <w:marRight w:val="0"/>
      <w:marTop w:val="0"/>
      <w:marBottom w:val="0"/>
      <w:divBdr>
        <w:top w:val="none" w:sz="0" w:space="0" w:color="auto"/>
        <w:left w:val="none" w:sz="0" w:space="0" w:color="auto"/>
        <w:bottom w:val="none" w:sz="0" w:space="0" w:color="auto"/>
        <w:right w:val="none" w:sz="0" w:space="0" w:color="auto"/>
      </w:divBdr>
    </w:div>
    <w:div w:id="68113074">
      <w:bodyDiv w:val="1"/>
      <w:marLeft w:val="0"/>
      <w:marRight w:val="0"/>
      <w:marTop w:val="0"/>
      <w:marBottom w:val="0"/>
      <w:divBdr>
        <w:top w:val="none" w:sz="0" w:space="0" w:color="auto"/>
        <w:left w:val="none" w:sz="0" w:space="0" w:color="auto"/>
        <w:bottom w:val="none" w:sz="0" w:space="0" w:color="auto"/>
        <w:right w:val="none" w:sz="0" w:space="0" w:color="auto"/>
      </w:divBdr>
    </w:div>
    <w:div w:id="135074295">
      <w:bodyDiv w:val="1"/>
      <w:marLeft w:val="0"/>
      <w:marRight w:val="0"/>
      <w:marTop w:val="0"/>
      <w:marBottom w:val="0"/>
      <w:divBdr>
        <w:top w:val="none" w:sz="0" w:space="0" w:color="auto"/>
        <w:left w:val="none" w:sz="0" w:space="0" w:color="auto"/>
        <w:bottom w:val="none" w:sz="0" w:space="0" w:color="auto"/>
        <w:right w:val="none" w:sz="0" w:space="0" w:color="auto"/>
      </w:divBdr>
    </w:div>
    <w:div w:id="283586615">
      <w:bodyDiv w:val="1"/>
      <w:marLeft w:val="0"/>
      <w:marRight w:val="0"/>
      <w:marTop w:val="0"/>
      <w:marBottom w:val="0"/>
      <w:divBdr>
        <w:top w:val="none" w:sz="0" w:space="0" w:color="auto"/>
        <w:left w:val="none" w:sz="0" w:space="0" w:color="auto"/>
        <w:bottom w:val="none" w:sz="0" w:space="0" w:color="auto"/>
        <w:right w:val="none" w:sz="0" w:space="0" w:color="auto"/>
      </w:divBdr>
    </w:div>
    <w:div w:id="290330570">
      <w:bodyDiv w:val="1"/>
      <w:marLeft w:val="0"/>
      <w:marRight w:val="0"/>
      <w:marTop w:val="0"/>
      <w:marBottom w:val="0"/>
      <w:divBdr>
        <w:top w:val="none" w:sz="0" w:space="0" w:color="auto"/>
        <w:left w:val="none" w:sz="0" w:space="0" w:color="auto"/>
        <w:bottom w:val="none" w:sz="0" w:space="0" w:color="auto"/>
        <w:right w:val="none" w:sz="0" w:space="0" w:color="auto"/>
      </w:divBdr>
    </w:div>
    <w:div w:id="391201607">
      <w:bodyDiv w:val="1"/>
      <w:marLeft w:val="0"/>
      <w:marRight w:val="0"/>
      <w:marTop w:val="0"/>
      <w:marBottom w:val="0"/>
      <w:divBdr>
        <w:top w:val="none" w:sz="0" w:space="0" w:color="auto"/>
        <w:left w:val="none" w:sz="0" w:space="0" w:color="auto"/>
        <w:bottom w:val="none" w:sz="0" w:space="0" w:color="auto"/>
        <w:right w:val="none" w:sz="0" w:space="0" w:color="auto"/>
      </w:divBdr>
    </w:div>
    <w:div w:id="518617016">
      <w:bodyDiv w:val="1"/>
      <w:marLeft w:val="0"/>
      <w:marRight w:val="0"/>
      <w:marTop w:val="0"/>
      <w:marBottom w:val="0"/>
      <w:divBdr>
        <w:top w:val="none" w:sz="0" w:space="0" w:color="auto"/>
        <w:left w:val="none" w:sz="0" w:space="0" w:color="auto"/>
        <w:bottom w:val="none" w:sz="0" w:space="0" w:color="auto"/>
        <w:right w:val="none" w:sz="0" w:space="0" w:color="auto"/>
      </w:divBdr>
    </w:div>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737167624">
      <w:bodyDiv w:val="1"/>
      <w:marLeft w:val="0"/>
      <w:marRight w:val="0"/>
      <w:marTop w:val="0"/>
      <w:marBottom w:val="0"/>
      <w:divBdr>
        <w:top w:val="none" w:sz="0" w:space="0" w:color="auto"/>
        <w:left w:val="none" w:sz="0" w:space="0" w:color="auto"/>
        <w:bottom w:val="none" w:sz="0" w:space="0" w:color="auto"/>
        <w:right w:val="none" w:sz="0" w:space="0" w:color="auto"/>
      </w:divBdr>
    </w:div>
    <w:div w:id="994996800">
      <w:bodyDiv w:val="1"/>
      <w:marLeft w:val="0"/>
      <w:marRight w:val="0"/>
      <w:marTop w:val="0"/>
      <w:marBottom w:val="0"/>
      <w:divBdr>
        <w:top w:val="none" w:sz="0" w:space="0" w:color="auto"/>
        <w:left w:val="none" w:sz="0" w:space="0" w:color="auto"/>
        <w:bottom w:val="none" w:sz="0" w:space="0" w:color="auto"/>
        <w:right w:val="none" w:sz="0" w:space="0" w:color="auto"/>
      </w:divBdr>
    </w:div>
    <w:div w:id="1086028895">
      <w:bodyDiv w:val="1"/>
      <w:marLeft w:val="0"/>
      <w:marRight w:val="0"/>
      <w:marTop w:val="0"/>
      <w:marBottom w:val="0"/>
      <w:divBdr>
        <w:top w:val="none" w:sz="0" w:space="0" w:color="auto"/>
        <w:left w:val="none" w:sz="0" w:space="0" w:color="auto"/>
        <w:bottom w:val="none" w:sz="0" w:space="0" w:color="auto"/>
        <w:right w:val="none" w:sz="0" w:space="0" w:color="auto"/>
      </w:divBdr>
    </w:div>
    <w:div w:id="1280183279">
      <w:bodyDiv w:val="1"/>
      <w:marLeft w:val="0"/>
      <w:marRight w:val="0"/>
      <w:marTop w:val="0"/>
      <w:marBottom w:val="0"/>
      <w:divBdr>
        <w:top w:val="none" w:sz="0" w:space="0" w:color="auto"/>
        <w:left w:val="none" w:sz="0" w:space="0" w:color="auto"/>
        <w:bottom w:val="none" w:sz="0" w:space="0" w:color="auto"/>
        <w:right w:val="none" w:sz="0" w:space="0" w:color="auto"/>
      </w:divBdr>
    </w:div>
    <w:div w:id="1330475172">
      <w:bodyDiv w:val="1"/>
      <w:marLeft w:val="0"/>
      <w:marRight w:val="0"/>
      <w:marTop w:val="0"/>
      <w:marBottom w:val="0"/>
      <w:divBdr>
        <w:top w:val="none" w:sz="0" w:space="0" w:color="auto"/>
        <w:left w:val="none" w:sz="0" w:space="0" w:color="auto"/>
        <w:bottom w:val="none" w:sz="0" w:space="0" w:color="auto"/>
        <w:right w:val="none" w:sz="0" w:space="0" w:color="auto"/>
      </w:divBdr>
    </w:div>
    <w:div w:id="1390808499">
      <w:bodyDiv w:val="1"/>
      <w:marLeft w:val="0"/>
      <w:marRight w:val="0"/>
      <w:marTop w:val="0"/>
      <w:marBottom w:val="0"/>
      <w:divBdr>
        <w:top w:val="none" w:sz="0" w:space="0" w:color="auto"/>
        <w:left w:val="none" w:sz="0" w:space="0" w:color="auto"/>
        <w:bottom w:val="none" w:sz="0" w:space="0" w:color="auto"/>
        <w:right w:val="none" w:sz="0" w:space="0" w:color="auto"/>
      </w:divBdr>
    </w:div>
    <w:div w:id="1529835284">
      <w:bodyDiv w:val="1"/>
      <w:marLeft w:val="0"/>
      <w:marRight w:val="0"/>
      <w:marTop w:val="0"/>
      <w:marBottom w:val="0"/>
      <w:divBdr>
        <w:top w:val="none" w:sz="0" w:space="0" w:color="auto"/>
        <w:left w:val="none" w:sz="0" w:space="0" w:color="auto"/>
        <w:bottom w:val="none" w:sz="0" w:space="0" w:color="auto"/>
        <w:right w:val="none" w:sz="0" w:space="0" w:color="auto"/>
      </w:divBdr>
    </w:div>
    <w:div w:id="1581014278">
      <w:bodyDiv w:val="1"/>
      <w:marLeft w:val="0"/>
      <w:marRight w:val="0"/>
      <w:marTop w:val="0"/>
      <w:marBottom w:val="0"/>
      <w:divBdr>
        <w:top w:val="none" w:sz="0" w:space="0" w:color="auto"/>
        <w:left w:val="none" w:sz="0" w:space="0" w:color="auto"/>
        <w:bottom w:val="none" w:sz="0" w:space="0" w:color="auto"/>
        <w:right w:val="none" w:sz="0" w:space="0" w:color="auto"/>
      </w:divBdr>
    </w:div>
    <w:div w:id="1673096734">
      <w:bodyDiv w:val="1"/>
      <w:marLeft w:val="0"/>
      <w:marRight w:val="0"/>
      <w:marTop w:val="0"/>
      <w:marBottom w:val="0"/>
      <w:divBdr>
        <w:top w:val="none" w:sz="0" w:space="0" w:color="auto"/>
        <w:left w:val="none" w:sz="0" w:space="0" w:color="auto"/>
        <w:bottom w:val="none" w:sz="0" w:space="0" w:color="auto"/>
        <w:right w:val="none" w:sz="0" w:space="0" w:color="auto"/>
      </w:divBdr>
    </w:div>
    <w:div w:id="2022511818">
      <w:bodyDiv w:val="1"/>
      <w:marLeft w:val="0"/>
      <w:marRight w:val="0"/>
      <w:marTop w:val="0"/>
      <w:marBottom w:val="0"/>
      <w:divBdr>
        <w:top w:val="none" w:sz="0" w:space="0" w:color="auto"/>
        <w:left w:val="none" w:sz="0" w:space="0" w:color="auto"/>
        <w:bottom w:val="none" w:sz="0" w:space="0" w:color="auto"/>
        <w:right w:val="none" w:sz="0" w:space="0" w:color="auto"/>
      </w:divBdr>
    </w:div>
    <w:div w:id="211945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at.gouv.qc.ca/fileadmin/tat/4Services_essentiels/Reseau_de_la_sante_et_des_services_sociaux/Exigences_version_final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B762-55DC-476B-AC74-1EB941AA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1696</Words>
  <Characters>9363</Characters>
  <Application>Microsoft Office Word</Application>
  <DocSecurity>0</DocSecurity>
  <Lines>228</Lines>
  <Paragraphs>94</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10965</CharactersWithSpaces>
  <SharedDoc>false</SharedDoc>
  <HLinks>
    <vt:vector size="6" baseType="variant">
      <vt:variant>
        <vt:i4>2359339</vt:i4>
      </vt:variant>
      <vt:variant>
        <vt:i4>0</vt:i4>
      </vt:variant>
      <vt:variant>
        <vt:i4>0</vt:i4>
      </vt:variant>
      <vt:variant>
        <vt:i4>5</vt:i4>
      </vt:variant>
      <vt:variant>
        <vt:lpwstr>https://www.tat.gouv.qc.ca/fileadmin/tat/4Services_essentiels/Reseau_de_la_sante_et_des_services_sociaux/Exigences_version_finale.pdf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Marie-Pier Lebeau</dc:creator>
  <cp:keywords/>
  <dc:description/>
  <cp:lastModifiedBy>PAQV03</cp:lastModifiedBy>
  <cp:revision>2</cp:revision>
  <cp:lastPrinted>2023-03-20T18:47:00Z</cp:lastPrinted>
  <dcterms:created xsi:type="dcterms:W3CDTF">2023-06-21T13:51:00Z</dcterms:created>
  <dcterms:modified xsi:type="dcterms:W3CDTF">2023-06-21T13:51:00Z</dcterms:modified>
</cp:coreProperties>
</file>