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90" w:type="dxa"/>
        <w:tblLayout w:type="fixed"/>
        <w:tblCellMar>
          <w:left w:w="70" w:type="dxa"/>
          <w:right w:w="70" w:type="dxa"/>
        </w:tblCellMar>
        <w:tblLook w:val="0000" w:firstRow="0" w:lastRow="0" w:firstColumn="0" w:lastColumn="0" w:noHBand="0" w:noVBand="0"/>
      </w:tblPr>
      <w:tblGrid>
        <w:gridCol w:w="6323"/>
        <w:gridCol w:w="3267"/>
      </w:tblGrid>
      <w:tr w:rsidR="008A7FD1" w:rsidRPr="008A7FD1">
        <w:trPr>
          <w:cantSplit/>
        </w:trPr>
        <w:tc>
          <w:tcPr>
            <w:tcW w:w="4795" w:type="dxa"/>
          </w:tcPr>
          <w:p w:rsidR="008A7FD1" w:rsidRPr="008A7FD1" w:rsidRDefault="008A7FD1" w:rsidP="008962E7">
            <w:pPr>
              <w:pStyle w:val="zSoquijdatRepertorie"/>
            </w:pPr>
            <w:bookmarkStart w:id="0" w:name="_GoBack"/>
            <w:bookmarkEnd w:id="0"/>
          </w:p>
        </w:tc>
        <w:tc>
          <w:tcPr>
            <w:tcW w:w="2477" w:type="dxa"/>
          </w:tcPr>
          <w:p w:rsidR="008A7FD1" w:rsidRPr="008A7FD1" w:rsidRDefault="008A7FD1" w:rsidP="008962E7">
            <w:pPr>
              <w:pStyle w:val="zSoquijdatRefNeutre"/>
            </w:pPr>
          </w:p>
        </w:tc>
      </w:tr>
    </w:tbl>
    <w:p w:rsidR="008A7FD1" w:rsidRDefault="008A7FD1"/>
    <w:tbl>
      <w:tblPr>
        <w:tblW w:w="9568" w:type="dxa"/>
        <w:tblLayout w:type="fixed"/>
        <w:tblCellMar>
          <w:left w:w="70" w:type="dxa"/>
          <w:right w:w="70" w:type="dxa"/>
        </w:tblCellMar>
        <w:tblLook w:val="0000" w:firstRow="0" w:lastRow="0" w:firstColumn="0" w:lastColumn="0" w:noHBand="0" w:noVBand="0"/>
      </w:tblPr>
      <w:tblGrid>
        <w:gridCol w:w="3614"/>
        <w:gridCol w:w="1134"/>
        <w:gridCol w:w="709"/>
        <w:gridCol w:w="4111"/>
      </w:tblGrid>
      <w:tr w:rsidR="00C74B6F" w:rsidTr="002A374B">
        <w:trPr>
          <w:cantSplit/>
        </w:trPr>
        <w:tc>
          <w:tcPr>
            <w:tcW w:w="9568" w:type="dxa"/>
            <w:gridSpan w:val="4"/>
          </w:tcPr>
          <w:p w:rsidR="00C74B6F" w:rsidRPr="00BE1981" w:rsidRDefault="00C74B6F">
            <w:pPr>
              <w:rPr>
                <w:szCs w:val="24"/>
              </w:rPr>
            </w:pPr>
          </w:p>
        </w:tc>
      </w:tr>
      <w:tr w:rsidR="00C74B6F" w:rsidTr="002A374B">
        <w:trPr>
          <w:cantSplit/>
        </w:trPr>
        <w:tc>
          <w:tcPr>
            <w:tcW w:w="9568" w:type="dxa"/>
            <w:gridSpan w:val="4"/>
            <w:vAlign w:val="center"/>
          </w:tcPr>
          <w:p w:rsidR="00C74B6F" w:rsidRPr="000E1320" w:rsidRDefault="000E1320">
            <w:pPr>
              <w:jc w:val="center"/>
              <w:rPr>
                <w:sz w:val="36"/>
                <w:szCs w:val="36"/>
              </w:rPr>
            </w:pPr>
            <w:r w:rsidRPr="000E1320">
              <w:rPr>
                <w:b/>
                <w:sz w:val="36"/>
                <w:szCs w:val="36"/>
              </w:rPr>
              <w:t>TRIBUNAL ADMINISTRATIF DU TRAVAIL</w:t>
            </w:r>
          </w:p>
        </w:tc>
      </w:tr>
      <w:tr w:rsidR="00C74B6F" w:rsidTr="002A374B">
        <w:trPr>
          <w:cantSplit/>
        </w:trPr>
        <w:tc>
          <w:tcPr>
            <w:tcW w:w="9568" w:type="dxa"/>
            <w:gridSpan w:val="4"/>
          </w:tcPr>
          <w:p w:rsidR="00C74B6F" w:rsidRPr="00BE7014" w:rsidRDefault="006F0154" w:rsidP="009A67E7">
            <w:pPr>
              <w:pStyle w:val="zSoquijdatDivision"/>
            </w:pPr>
            <w:r w:rsidRPr="00BE7014">
              <w:t>(</w:t>
            </w:r>
            <w:r w:rsidR="00B277F5" w:rsidRPr="00441ADA">
              <w:t>Division des services essentiels</w:t>
            </w:r>
            <w:r w:rsidRPr="00BE7014">
              <w:t>)</w:t>
            </w:r>
          </w:p>
        </w:tc>
      </w:tr>
      <w:tr w:rsidR="00C74B6F" w:rsidTr="002A374B">
        <w:trPr>
          <w:cantSplit/>
        </w:trPr>
        <w:tc>
          <w:tcPr>
            <w:tcW w:w="9568" w:type="dxa"/>
            <w:gridSpan w:val="4"/>
          </w:tcPr>
          <w:p w:rsidR="002B2FC3" w:rsidRDefault="002B2FC3" w:rsidP="002B2FC3"/>
        </w:tc>
      </w:tr>
      <w:tr w:rsidR="00A84FC6" w:rsidTr="002A374B">
        <w:trPr>
          <w:cantSplit/>
        </w:trPr>
        <w:tc>
          <w:tcPr>
            <w:tcW w:w="9568" w:type="dxa"/>
            <w:gridSpan w:val="4"/>
          </w:tcPr>
          <w:p w:rsidR="00A84FC6" w:rsidRDefault="00A84FC6" w:rsidP="002B2FC3"/>
        </w:tc>
      </w:tr>
      <w:tr w:rsidR="00C74B6F" w:rsidTr="005E654C">
        <w:tc>
          <w:tcPr>
            <w:tcW w:w="3614" w:type="dxa"/>
          </w:tcPr>
          <w:p w:rsidR="00C74B6F" w:rsidRDefault="0084255F">
            <w:bookmarkStart w:id="1" w:name="region" w:colFirst="1" w:colLast="1"/>
            <w:r>
              <w:t>Région :</w:t>
            </w:r>
          </w:p>
        </w:tc>
        <w:tc>
          <w:tcPr>
            <w:tcW w:w="5954" w:type="dxa"/>
            <w:gridSpan w:val="3"/>
          </w:tcPr>
          <w:p w:rsidR="00C74B6F" w:rsidRDefault="00B277F5" w:rsidP="00F4095A">
            <w:pPr>
              <w:pStyle w:val="zSoquijdatGreffe"/>
            </w:pPr>
            <w:r>
              <w:t>Montréal</w:t>
            </w:r>
          </w:p>
        </w:tc>
      </w:tr>
      <w:bookmarkEnd w:id="1"/>
      <w:tr w:rsidR="00C74B6F" w:rsidTr="002A374B">
        <w:trPr>
          <w:cantSplit/>
        </w:trPr>
        <w:tc>
          <w:tcPr>
            <w:tcW w:w="9568" w:type="dxa"/>
            <w:gridSpan w:val="4"/>
          </w:tcPr>
          <w:p w:rsidR="00C74B6F" w:rsidRDefault="00C74B6F"/>
        </w:tc>
      </w:tr>
      <w:tr w:rsidR="00C74B6F" w:rsidTr="005E654C">
        <w:tc>
          <w:tcPr>
            <w:tcW w:w="3614" w:type="dxa"/>
          </w:tcPr>
          <w:p w:rsidR="00C74B6F" w:rsidRDefault="0084255F">
            <w:bookmarkStart w:id="2" w:name="ref_dossier" w:colFirst="1" w:colLast="1"/>
            <w:r>
              <w:t>Dossier</w:t>
            </w:r>
            <w:bookmarkStart w:id="3" w:name="dossiers"/>
            <w:bookmarkEnd w:id="3"/>
            <w:r>
              <w:t> :</w:t>
            </w:r>
          </w:p>
        </w:tc>
        <w:tc>
          <w:tcPr>
            <w:tcW w:w="5954" w:type="dxa"/>
            <w:gridSpan w:val="3"/>
          </w:tcPr>
          <w:p w:rsidR="00C74B6F" w:rsidRDefault="00B277F5" w:rsidP="00F4095A">
            <w:pPr>
              <w:pStyle w:val="zSoquijdatNoDossier"/>
            </w:pPr>
            <w:r>
              <w:t>CM-2017-5848</w:t>
            </w:r>
          </w:p>
        </w:tc>
      </w:tr>
      <w:bookmarkEnd w:id="2"/>
      <w:tr w:rsidR="00C74B6F" w:rsidTr="002A374B">
        <w:trPr>
          <w:cantSplit/>
        </w:trPr>
        <w:tc>
          <w:tcPr>
            <w:tcW w:w="9568" w:type="dxa"/>
            <w:gridSpan w:val="4"/>
          </w:tcPr>
          <w:p w:rsidR="00C74B6F" w:rsidRDefault="00D44BCF">
            <w:r>
              <w:fldChar w:fldCharType="begin"/>
            </w:r>
            <w:r>
              <w:instrText xml:space="preserve"> AUTOTEXTLIST  \* Upper  \* MERGEFORMAT </w:instrText>
            </w:r>
            <w:r>
              <w:fldChar w:fldCharType="end"/>
            </w:r>
          </w:p>
        </w:tc>
      </w:tr>
      <w:tr w:rsidR="00C74B6F" w:rsidTr="005E654C">
        <w:tc>
          <w:tcPr>
            <w:tcW w:w="3614" w:type="dxa"/>
          </w:tcPr>
          <w:p w:rsidR="00C74B6F" w:rsidRDefault="008C79A7" w:rsidP="0045114F">
            <w:pPr>
              <w:ind w:right="46"/>
            </w:pPr>
            <w:r>
              <w:t xml:space="preserve">Dossier </w:t>
            </w:r>
            <w:r w:rsidR="00B277F5" w:rsidRPr="00B277F5">
              <w:rPr>
                <w:szCs w:val="24"/>
              </w:rPr>
              <w:t>accréditation</w:t>
            </w:r>
            <w:r w:rsidRPr="008C79A7">
              <w:rPr>
                <w:szCs w:val="24"/>
              </w:rPr>
              <w:t xml:space="preserve"> :</w:t>
            </w:r>
          </w:p>
        </w:tc>
        <w:tc>
          <w:tcPr>
            <w:tcW w:w="5954" w:type="dxa"/>
            <w:gridSpan w:val="3"/>
          </w:tcPr>
          <w:p w:rsidR="00C74B6F" w:rsidRDefault="00B277F5" w:rsidP="004D6CEA">
            <w:pPr>
              <w:pStyle w:val="zSoquijdatNCSST"/>
            </w:pPr>
            <w:r>
              <w:t>AM-1002-6597</w:t>
            </w:r>
          </w:p>
        </w:tc>
      </w:tr>
      <w:tr w:rsidR="00C74B6F" w:rsidTr="002A374B">
        <w:trPr>
          <w:cantSplit/>
        </w:trPr>
        <w:tc>
          <w:tcPr>
            <w:tcW w:w="9568" w:type="dxa"/>
            <w:gridSpan w:val="4"/>
          </w:tcPr>
          <w:p w:rsidR="00C74B6F" w:rsidRDefault="00C74B6F"/>
        </w:tc>
      </w:tr>
      <w:tr w:rsidR="00C74B6F" w:rsidTr="002A374B">
        <w:trPr>
          <w:cantSplit/>
        </w:trPr>
        <w:tc>
          <w:tcPr>
            <w:tcW w:w="9568" w:type="dxa"/>
            <w:gridSpan w:val="4"/>
          </w:tcPr>
          <w:p w:rsidR="00C74B6F" w:rsidRDefault="00C74B6F"/>
        </w:tc>
      </w:tr>
      <w:tr w:rsidR="006E3DD8" w:rsidTr="005E654C">
        <w:trPr>
          <w:cantSplit/>
        </w:trPr>
        <w:tc>
          <w:tcPr>
            <w:tcW w:w="3614" w:type="dxa"/>
          </w:tcPr>
          <w:p w:rsidR="006E3DD8" w:rsidRDefault="00B277F5" w:rsidP="006E3DD8">
            <w:pPr>
              <w:tabs>
                <w:tab w:val="left" w:pos="2672"/>
              </w:tabs>
            </w:pPr>
            <w:r>
              <w:t>Montréal</w:t>
            </w:r>
            <w:r w:rsidR="00C04E32">
              <w:t>,</w:t>
            </w:r>
          </w:p>
        </w:tc>
        <w:tc>
          <w:tcPr>
            <w:tcW w:w="5954" w:type="dxa"/>
            <w:gridSpan w:val="3"/>
          </w:tcPr>
          <w:p w:rsidR="006E3DD8" w:rsidRDefault="00C04E32" w:rsidP="0040628B">
            <w:pPr>
              <w:pStyle w:val="zSoquijdatDateJugement"/>
            </w:pPr>
            <w:r>
              <w:t xml:space="preserve">le </w:t>
            </w:r>
            <w:r w:rsidR="0040628B">
              <w:t>20</w:t>
            </w:r>
            <w:r w:rsidR="00B277F5">
              <w:t xml:space="preserve"> novembre 2017</w:t>
            </w:r>
          </w:p>
        </w:tc>
      </w:tr>
      <w:tr w:rsidR="00942AB8" w:rsidTr="002A374B">
        <w:trPr>
          <w:cantSplit/>
        </w:trPr>
        <w:tc>
          <w:tcPr>
            <w:tcW w:w="9568" w:type="dxa"/>
            <w:gridSpan w:val="4"/>
          </w:tcPr>
          <w:p w:rsidR="00942AB8" w:rsidRDefault="00942AB8" w:rsidP="00FA153F">
            <w:r>
              <w:t>______________________________________________________________________</w:t>
            </w:r>
          </w:p>
        </w:tc>
      </w:tr>
      <w:tr w:rsidR="00942AB8" w:rsidTr="002A374B">
        <w:trPr>
          <w:cantSplit/>
          <w:trHeight w:val="148"/>
        </w:trPr>
        <w:tc>
          <w:tcPr>
            <w:tcW w:w="9568" w:type="dxa"/>
            <w:gridSpan w:val="4"/>
          </w:tcPr>
          <w:p w:rsidR="00942AB8" w:rsidRDefault="00942AB8" w:rsidP="00FA153F"/>
        </w:tc>
      </w:tr>
      <w:tr w:rsidR="0035375B" w:rsidTr="00A12E55">
        <w:trPr>
          <w:cantSplit/>
          <w:trHeight w:val="148"/>
        </w:trPr>
        <w:tc>
          <w:tcPr>
            <w:tcW w:w="5457" w:type="dxa"/>
            <w:gridSpan w:val="3"/>
          </w:tcPr>
          <w:p w:rsidR="0035375B" w:rsidRPr="00942AB8" w:rsidRDefault="0035375B" w:rsidP="00B277F5">
            <w:pPr>
              <w:rPr>
                <w:b/>
                <w:bCs/>
              </w:rPr>
            </w:pPr>
            <w:bookmarkStart w:id="4" w:name="ref_commissaire" w:colFirst="1" w:colLast="1"/>
            <w:r w:rsidRPr="00942AB8">
              <w:rPr>
                <w:b/>
                <w:bCs/>
              </w:rPr>
              <w:t>DEVANT L</w:t>
            </w:r>
            <w:r w:rsidR="00B277F5">
              <w:rPr>
                <w:b/>
                <w:bCs/>
              </w:rPr>
              <w:t>A</w:t>
            </w:r>
            <w:r w:rsidRPr="00942AB8">
              <w:rPr>
                <w:b/>
                <w:bCs/>
              </w:rPr>
              <w:t xml:space="preserve"> JUGE ADMINISTRATI</w:t>
            </w:r>
            <w:r w:rsidR="00B277F5">
              <w:rPr>
                <w:b/>
                <w:bCs/>
              </w:rPr>
              <w:t>VE</w:t>
            </w:r>
            <w:r w:rsidRPr="00942AB8">
              <w:rPr>
                <w:b/>
                <w:bCs/>
              </w:rPr>
              <w:t> :</w:t>
            </w:r>
          </w:p>
        </w:tc>
        <w:tc>
          <w:tcPr>
            <w:tcW w:w="4111" w:type="dxa"/>
          </w:tcPr>
          <w:p w:rsidR="0035375B" w:rsidRPr="00942AB8" w:rsidRDefault="00B277F5" w:rsidP="005B5689">
            <w:pPr>
              <w:pStyle w:val="zSoquijdatJuge"/>
              <w:rPr>
                <w:bCs/>
              </w:rPr>
            </w:pPr>
            <w:r>
              <w:t>Esther Plante</w:t>
            </w:r>
          </w:p>
        </w:tc>
      </w:tr>
      <w:bookmarkEnd w:id="4"/>
      <w:tr w:rsidR="00942AB8" w:rsidTr="002A374B">
        <w:trPr>
          <w:cantSplit/>
          <w:trHeight w:val="148"/>
        </w:trPr>
        <w:tc>
          <w:tcPr>
            <w:tcW w:w="9568" w:type="dxa"/>
            <w:gridSpan w:val="4"/>
          </w:tcPr>
          <w:p w:rsidR="00942AB8" w:rsidRDefault="00942AB8" w:rsidP="00FA153F">
            <w:r>
              <w:t>______________________________________________________________________</w:t>
            </w:r>
          </w:p>
        </w:tc>
      </w:tr>
      <w:tr w:rsidR="00942AB8" w:rsidTr="002A374B">
        <w:tc>
          <w:tcPr>
            <w:tcW w:w="9568" w:type="dxa"/>
            <w:gridSpan w:val="4"/>
          </w:tcPr>
          <w:p w:rsidR="00942AB8" w:rsidRDefault="00942AB8"/>
        </w:tc>
      </w:tr>
      <w:tr w:rsidR="00942AB8" w:rsidTr="00D40ABA">
        <w:tc>
          <w:tcPr>
            <w:tcW w:w="4748" w:type="dxa"/>
            <w:gridSpan w:val="2"/>
          </w:tcPr>
          <w:p w:rsidR="00942AB8" w:rsidRDefault="00942AB8">
            <w:bookmarkStart w:id="5" w:name="bloc_parties_gauche"/>
            <w:bookmarkEnd w:id="5"/>
          </w:p>
        </w:tc>
        <w:tc>
          <w:tcPr>
            <w:tcW w:w="4820" w:type="dxa"/>
            <w:gridSpan w:val="2"/>
          </w:tcPr>
          <w:p w:rsidR="00942AB8" w:rsidRDefault="00942AB8"/>
        </w:tc>
      </w:tr>
      <w:tr w:rsidR="00942AB8" w:rsidTr="00D40ABA">
        <w:tc>
          <w:tcPr>
            <w:tcW w:w="4748" w:type="dxa"/>
            <w:gridSpan w:val="2"/>
          </w:tcPr>
          <w:p w:rsidR="00942AB8" w:rsidRDefault="00B277F5">
            <w:pPr>
              <w:pStyle w:val="zSoquijdatNomPartieDem"/>
              <w:rPr>
                <w:b/>
              </w:rPr>
            </w:pPr>
            <w:r>
              <w:rPr>
                <w:b/>
              </w:rPr>
              <w:t>Résidence l’Eden de Laval inc.</w:t>
            </w:r>
          </w:p>
        </w:tc>
        <w:tc>
          <w:tcPr>
            <w:tcW w:w="4820" w:type="dxa"/>
            <w:gridSpan w:val="2"/>
          </w:tcPr>
          <w:p w:rsidR="00942AB8" w:rsidRDefault="00942AB8"/>
        </w:tc>
      </w:tr>
      <w:tr w:rsidR="00942AB8" w:rsidTr="00D40ABA">
        <w:tc>
          <w:tcPr>
            <w:tcW w:w="4748" w:type="dxa"/>
            <w:gridSpan w:val="2"/>
          </w:tcPr>
          <w:p w:rsidR="00942AB8" w:rsidRDefault="00B277F5">
            <w:pPr>
              <w:pStyle w:val="zSoquijdatQtePartieDem"/>
              <w:ind w:left="708"/>
            </w:pPr>
            <w:r>
              <w:t>Partie demanderesse</w:t>
            </w:r>
          </w:p>
        </w:tc>
        <w:tc>
          <w:tcPr>
            <w:tcW w:w="4820" w:type="dxa"/>
            <w:gridSpan w:val="2"/>
          </w:tcPr>
          <w:p w:rsidR="00942AB8" w:rsidRDefault="00942AB8"/>
        </w:tc>
      </w:tr>
      <w:tr w:rsidR="00942AB8" w:rsidTr="00D40ABA">
        <w:tc>
          <w:tcPr>
            <w:tcW w:w="4748" w:type="dxa"/>
            <w:gridSpan w:val="2"/>
          </w:tcPr>
          <w:p w:rsidR="00942AB8" w:rsidRDefault="00942AB8"/>
        </w:tc>
        <w:tc>
          <w:tcPr>
            <w:tcW w:w="4820" w:type="dxa"/>
            <w:gridSpan w:val="2"/>
          </w:tcPr>
          <w:p w:rsidR="00942AB8" w:rsidRDefault="00942AB8"/>
        </w:tc>
      </w:tr>
      <w:tr w:rsidR="00942AB8" w:rsidTr="00D40ABA">
        <w:tc>
          <w:tcPr>
            <w:tcW w:w="4748" w:type="dxa"/>
            <w:gridSpan w:val="2"/>
          </w:tcPr>
          <w:p w:rsidR="00942AB8" w:rsidRDefault="00B277F5" w:rsidP="00D06652">
            <w:pPr>
              <w:pStyle w:val="zSoquijlblLienParties"/>
            </w:pPr>
            <w:r>
              <w:t>c.</w:t>
            </w:r>
          </w:p>
        </w:tc>
        <w:tc>
          <w:tcPr>
            <w:tcW w:w="4820" w:type="dxa"/>
            <w:gridSpan w:val="2"/>
          </w:tcPr>
          <w:p w:rsidR="00942AB8" w:rsidRDefault="00942AB8"/>
        </w:tc>
      </w:tr>
      <w:tr w:rsidR="00942AB8" w:rsidTr="00D40ABA">
        <w:tc>
          <w:tcPr>
            <w:tcW w:w="4748" w:type="dxa"/>
            <w:gridSpan w:val="2"/>
          </w:tcPr>
          <w:p w:rsidR="00942AB8" w:rsidRDefault="00942AB8"/>
        </w:tc>
        <w:tc>
          <w:tcPr>
            <w:tcW w:w="4820" w:type="dxa"/>
            <w:gridSpan w:val="2"/>
          </w:tcPr>
          <w:p w:rsidR="00942AB8" w:rsidRDefault="00942AB8"/>
        </w:tc>
      </w:tr>
      <w:tr w:rsidR="00B277F5" w:rsidTr="007F14CF">
        <w:tc>
          <w:tcPr>
            <w:tcW w:w="9568" w:type="dxa"/>
            <w:gridSpan w:val="4"/>
          </w:tcPr>
          <w:p w:rsidR="00B277F5" w:rsidRDefault="00B277F5">
            <w:r>
              <w:rPr>
                <w:b/>
              </w:rPr>
              <w:t>Syndicat québécois des employées et employés de service, section locale 298 (FTQ)</w:t>
            </w:r>
          </w:p>
        </w:tc>
      </w:tr>
      <w:tr w:rsidR="00942AB8" w:rsidTr="00D40ABA">
        <w:tc>
          <w:tcPr>
            <w:tcW w:w="4748" w:type="dxa"/>
            <w:gridSpan w:val="2"/>
          </w:tcPr>
          <w:p w:rsidR="00942AB8" w:rsidRDefault="00B277F5">
            <w:pPr>
              <w:pStyle w:val="zSoquijdatQtePartieDef"/>
              <w:ind w:left="708"/>
            </w:pPr>
            <w:r>
              <w:t>Partie défenderesse</w:t>
            </w:r>
          </w:p>
        </w:tc>
        <w:tc>
          <w:tcPr>
            <w:tcW w:w="4820" w:type="dxa"/>
            <w:gridSpan w:val="2"/>
          </w:tcPr>
          <w:p w:rsidR="00942AB8" w:rsidRDefault="00942AB8"/>
        </w:tc>
      </w:tr>
      <w:tr w:rsidR="00942AB8" w:rsidTr="00D40ABA">
        <w:tc>
          <w:tcPr>
            <w:tcW w:w="4748" w:type="dxa"/>
            <w:gridSpan w:val="2"/>
          </w:tcPr>
          <w:p w:rsidR="00942AB8" w:rsidRDefault="00942AB8"/>
        </w:tc>
        <w:tc>
          <w:tcPr>
            <w:tcW w:w="4820" w:type="dxa"/>
            <w:gridSpan w:val="2"/>
          </w:tcPr>
          <w:p w:rsidR="00942AB8" w:rsidRDefault="00942AB8"/>
        </w:tc>
      </w:tr>
    </w:tbl>
    <w:p w:rsidR="00C74B6F" w:rsidRDefault="00C74B6F">
      <w:r>
        <w:t>______________________________________________________________________</w:t>
      </w:r>
    </w:p>
    <w:p w:rsidR="00C74B6F" w:rsidRDefault="00C74B6F"/>
    <w:p w:rsidR="00C74B6F" w:rsidRPr="005B0612" w:rsidRDefault="00C74B6F" w:rsidP="008B042E">
      <w:pPr>
        <w:jc w:val="center"/>
        <w:rPr>
          <w:b/>
          <w:bCs/>
        </w:rPr>
      </w:pPr>
      <w:bookmarkStart w:id="6" w:name="decision"/>
      <w:r w:rsidRPr="005B0612">
        <w:rPr>
          <w:b/>
          <w:bCs/>
        </w:rPr>
        <w:t>DÉCISION</w:t>
      </w:r>
      <w:bookmarkEnd w:id="6"/>
    </w:p>
    <w:p w:rsidR="00C74B6F" w:rsidRDefault="00C74B6F">
      <w:pPr>
        <w:jc w:val="center"/>
      </w:pPr>
      <w:r>
        <w:t>______________________________________________________________________</w:t>
      </w:r>
    </w:p>
    <w:p w:rsidR="00C74B6F" w:rsidRDefault="00C74B6F"/>
    <w:p w:rsidR="00C74B6F" w:rsidRDefault="00C74B6F"/>
    <w:p w:rsidR="00DB7B7C" w:rsidRPr="00DB7B7C" w:rsidRDefault="00DB7B7C">
      <w:pPr>
        <w:pStyle w:val="corpsdedcision"/>
      </w:pPr>
      <w:r>
        <w:t>Le 25 mai 2016, le Gouvernement du Québec adopte le décret n</w:t>
      </w:r>
      <w:r>
        <w:rPr>
          <w:vertAlign w:val="superscript"/>
        </w:rPr>
        <w:t xml:space="preserve">o </w:t>
      </w:r>
      <w:r w:rsidRPr="00DB7B7C">
        <w:t>446</w:t>
      </w:r>
      <w:r w:rsidR="006C6A02">
        <w:t xml:space="preserve"> - </w:t>
      </w:r>
      <w:r w:rsidRPr="00DB7B7C">
        <w:t>2016 assujettis</w:t>
      </w:r>
      <w:r>
        <w:t>s</w:t>
      </w:r>
      <w:r w:rsidRPr="00DB7B7C">
        <w:t>ant les parties à l’obligation de maintenir des services essentiels en période de grève.</w:t>
      </w:r>
    </w:p>
    <w:p w:rsidR="00C74B6F" w:rsidRDefault="00DB7B7C">
      <w:pPr>
        <w:pStyle w:val="corpsdedcision"/>
      </w:pPr>
      <w:r>
        <w:t xml:space="preserve">Le 10 novembre 2017, </w:t>
      </w:r>
      <w:r w:rsidR="006C6A02">
        <w:t>l</w:t>
      </w:r>
      <w:r>
        <w:t xml:space="preserve">e Tribunal administratif du travail (le </w:t>
      </w:r>
      <w:r w:rsidRPr="00DB7B7C">
        <w:rPr>
          <w:b/>
        </w:rPr>
        <w:t>Tribunal</w:t>
      </w:r>
      <w:r>
        <w:t xml:space="preserve">) reçoit un avis du Syndicat québécois des employées et employés de service, section locale 298 (FTQ) (le </w:t>
      </w:r>
      <w:r w:rsidRPr="00DB7B7C">
        <w:rPr>
          <w:b/>
        </w:rPr>
        <w:t>syndicat</w:t>
      </w:r>
      <w:r>
        <w:t>) indiquan</w:t>
      </w:r>
      <w:r w:rsidR="00FF689E">
        <w:t>t son intention de recourir à une</w:t>
      </w:r>
      <w:r>
        <w:t xml:space="preserve"> grève à durée indéterminée, à compter du 22 novembre 2017.</w:t>
      </w:r>
    </w:p>
    <w:p w:rsidR="00DB7B7C" w:rsidRDefault="00DB7B7C">
      <w:pPr>
        <w:pStyle w:val="corpsdedcision"/>
      </w:pPr>
      <w:r>
        <w:t>Le syndicat a joint à son avis de grève la liste des services essentiels qu’il entend maintenir durant la grève.</w:t>
      </w:r>
    </w:p>
    <w:p w:rsidR="00DB7B7C" w:rsidRDefault="000B6C60">
      <w:pPr>
        <w:pStyle w:val="corpsdedcision"/>
      </w:pPr>
      <w:r>
        <w:lastRenderedPageBreak/>
        <w:t>Le 13 novembre 2017</w:t>
      </w:r>
      <w:r w:rsidR="006C6A02">
        <w:t>,</w:t>
      </w:r>
      <w:r>
        <w:t xml:space="preserve"> </w:t>
      </w:r>
      <w:r w:rsidR="006C6A02">
        <w:t>l</w:t>
      </w:r>
      <w:r>
        <w:t>e Tribunal convoque les parties à une séance de conciliation suivie d’une audience s’il y a lieu le 17 novembre 2017.</w:t>
      </w:r>
      <w:r w:rsidR="006C6A02">
        <w:t xml:space="preserve"> </w:t>
      </w:r>
      <w:r>
        <w:t>Lors de la séance de conciliation, les parties conviennent d’une entente de services essentiels à maintenir durant la grève.</w:t>
      </w:r>
    </w:p>
    <w:p w:rsidR="000B6C60" w:rsidRDefault="000B6C60" w:rsidP="000B6C60">
      <w:pPr>
        <w:pStyle w:val="Titre1"/>
      </w:pPr>
      <w:r>
        <w:t>le profil</w:t>
      </w:r>
    </w:p>
    <w:p w:rsidR="000B6C60" w:rsidRDefault="000B6C60" w:rsidP="000B6C60">
      <w:pPr>
        <w:pStyle w:val="Titre2"/>
      </w:pPr>
      <w:r>
        <w:t>la résidence</w:t>
      </w:r>
    </w:p>
    <w:p w:rsidR="000B6C60" w:rsidRPr="001F59FC" w:rsidRDefault="000B6C60" w:rsidP="000B6C60">
      <w:pPr>
        <w:pStyle w:val="corpsdedcision"/>
      </w:pPr>
      <w:r w:rsidRPr="001F59FC">
        <w:t>R</w:t>
      </w:r>
      <w:r w:rsidR="00FF689E" w:rsidRPr="001F59FC">
        <w:t>ésidence l’E</w:t>
      </w:r>
      <w:r w:rsidRPr="001F59FC">
        <w:t xml:space="preserve">den de Laval inc. </w:t>
      </w:r>
      <w:r w:rsidR="00F80C18" w:rsidRPr="001F59FC">
        <w:t>(l’</w:t>
      </w:r>
      <w:r w:rsidR="00F80C18" w:rsidRPr="001F59FC">
        <w:rPr>
          <w:b/>
        </w:rPr>
        <w:t>employeur</w:t>
      </w:r>
      <w:r w:rsidR="00F80C18" w:rsidRPr="001F59FC">
        <w:t xml:space="preserve">) </w:t>
      </w:r>
      <w:r w:rsidRPr="001F59FC">
        <w:t>est une résidence privée non conventionnée pour aînés. Elle détient un permis du ministère de la Santé et des Services sociaux pour 117 lits en entente de service pour une clientèle de CHSLD. L’établissement a la capacité d’accueillir 152 résidents toutes missions confondues</w:t>
      </w:r>
      <w:r w:rsidR="001F59FC">
        <w:t>.</w:t>
      </w:r>
    </w:p>
    <w:p w:rsidR="000B6C60" w:rsidRPr="00004BB2" w:rsidRDefault="000B6C60" w:rsidP="000B6C60">
      <w:pPr>
        <w:pStyle w:val="corpsdedcision"/>
      </w:pPr>
      <w:r>
        <w:t xml:space="preserve">Le </w:t>
      </w:r>
      <w:r w:rsidRPr="00004BB2">
        <w:t xml:space="preserve">taux d’occupation </w:t>
      </w:r>
      <w:r>
        <w:t xml:space="preserve">est </w:t>
      </w:r>
      <w:r w:rsidRPr="00004BB2">
        <w:t xml:space="preserve">de </w:t>
      </w:r>
      <w:r>
        <w:t>140 l</w:t>
      </w:r>
      <w:r w:rsidRPr="00004BB2">
        <w:t>its sur 1</w:t>
      </w:r>
      <w:r>
        <w:t>52</w:t>
      </w:r>
      <w:r w:rsidRPr="00004BB2">
        <w:t xml:space="preserve"> qui sont tous m</w:t>
      </w:r>
      <w:r>
        <w:t xml:space="preserve">unis d’une sonnette d’urgence. </w:t>
      </w:r>
      <w:r w:rsidRPr="00004BB2">
        <w:t>La mission première de l</w:t>
      </w:r>
      <w:r w:rsidR="00F80C18">
        <w:t xml:space="preserve">a résidence </w:t>
      </w:r>
      <w:r w:rsidRPr="00004BB2">
        <w:t>est de donner des soins de longue durée à une clientèle en perte d’autonomie.</w:t>
      </w:r>
    </w:p>
    <w:p w:rsidR="000B6C60" w:rsidRPr="00004BB2" w:rsidRDefault="00B84774" w:rsidP="00B84774">
      <w:pPr>
        <w:pStyle w:val="Titre2"/>
      </w:pPr>
      <w:r>
        <w:t>e</w:t>
      </w:r>
      <w:r w:rsidR="000B6C60" w:rsidRPr="00004BB2">
        <w:t>ffectifs</w:t>
      </w:r>
    </w:p>
    <w:p w:rsidR="000B6C60" w:rsidRPr="00004BB2" w:rsidRDefault="000B6C60" w:rsidP="000B6C60">
      <w:pPr>
        <w:pStyle w:val="corpsdedcision"/>
      </w:pPr>
      <w:r w:rsidRPr="00004BB2">
        <w:t xml:space="preserve">La résidence emploie en plus du directeur général </w:t>
      </w:r>
      <w:r>
        <w:t>et de la direction des soins, 4 </w:t>
      </w:r>
      <w:r w:rsidRPr="00004BB2">
        <w:t>infirmières coordonnatrice</w:t>
      </w:r>
      <w:r>
        <w:t>s</w:t>
      </w:r>
      <w:r w:rsidRPr="00004BB2">
        <w:t xml:space="preserve"> d’activités, 5</w:t>
      </w:r>
      <w:r w:rsidR="00666B19">
        <w:t xml:space="preserve"> responsables-</w:t>
      </w:r>
      <w:r>
        <w:t xml:space="preserve">cadres d’unité, </w:t>
      </w:r>
      <w:r w:rsidR="00B84774">
        <w:t>1</w:t>
      </w:r>
      <w:r>
        <w:t> </w:t>
      </w:r>
      <w:r w:rsidRPr="00004BB2">
        <w:t>responsable du service alimentaire, 1 responsable de la maintenance et 3 membres du personnel administratif.</w:t>
      </w:r>
    </w:p>
    <w:p w:rsidR="000B6C60" w:rsidRPr="00004BB2" w:rsidRDefault="000B6C60" w:rsidP="000B6C60">
      <w:pPr>
        <w:pStyle w:val="corpsdedcision"/>
      </w:pPr>
      <w:r w:rsidRPr="00004BB2">
        <w:t>Le personnel syndiqué</w:t>
      </w:r>
      <w:r>
        <w:t>,</w:t>
      </w:r>
      <w:r w:rsidRPr="00004BB2">
        <w:t xml:space="preserve"> </w:t>
      </w:r>
      <w:r w:rsidR="00B84774">
        <w:t>représenté par le syndicat, compte</w:t>
      </w:r>
      <w:r>
        <w:t xml:space="preserve"> 148</w:t>
      </w:r>
      <w:r w:rsidRPr="00004BB2">
        <w:t xml:space="preserve"> salariés</w:t>
      </w:r>
      <w:r>
        <w:t>,</w:t>
      </w:r>
      <w:r w:rsidR="00666B19">
        <w:t xml:space="preserve"> dont 90 </w:t>
      </w:r>
      <w:r w:rsidRPr="00004BB2">
        <w:t>préposés aux bénéficiaires, 31 infirmières</w:t>
      </w:r>
      <w:r>
        <w:t xml:space="preserve"> auxiliaires, 6 cuisinières, 7</w:t>
      </w:r>
      <w:r w:rsidRPr="00004BB2">
        <w:t xml:space="preserve"> préposés aux services alimentaires, 9 préposés au service d’entretien et 5 prépo</w:t>
      </w:r>
      <w:r>
        <w:t>sés à la maintenance</w:t>
      </w:r>
      <w:r w:rsidRPr="00004BB2">
        <w:t>.</w:t>
      </w:r>
    </w:p>
    <w:p w:rsidR="000B6C60" w:rsidRPr="00004BB2" w:rsidRDefault="000B6C60" w:rsidP="000B6C60">
      <w:pPr>
        <w:pStyle w:val="corpsdedcision"/>
      </w:pPr>
      <w:r w:rsidRPr="00004BB2">
        <w:t>Plusieurs partenaires gravitent autour de la clientèle tel</w:t>
      </w:r>
      <w:r>
        <w:t>s</w:t>
      </w:r>
      <w:r w:rsidR="00666B19">
        <w:t xml:space="preserve"> que le médecin, la </w:t>
      </w:r>
      <w:r w:rsidRPr="00004BB2">
        <w:t>pharmacie, le service des loisirs, l’équipe de professionnel</w:t>
      </w:r>
      <w:r w:rsidR="00FC6B8B">
        <w:t>s</w:t>
      </w:r>
      <w:r w:rsidR="00666B19">
        <w:t xml:space="preserve"> du CISSS Laval </w:t>
      </w:r>
      <w:r w:rsidRPr="00004BB2">
        <w:t>(E</w:t>
      </w:r>
      <w:r w:rsidR="00666B19">
        <w:t>rgothérapie : 2 jours/</w:t>
      </w:r>
      <w:r>
        <w:t>semaine, t</w:t>
      </w:r>
      <w:r w:rsidR="00666B19">
        <w:t>ravailleuse sociale : 1 jour/semaine, TRP : 2 jours</w:t>
      </w:r>
      <w:r w:rsidRPr="00004BB2">
        <w:t>/semaine, clinicienne : 1 jour/s</w:t>
      </w:r>
      <w:r w:rsidR="00666B19">
        <w:t>emaine, nutritionniste : 1 jour</w:t>
      </w:r>
      <w:r w:rsidRPr="00004BB2">
        <w:t>/semaine, ainsi que du personnel spécialisé sur demande.</w:t>
      </w:r>
    </w:p>
    <w:p w:rsidR="000B6C60" w:rsidRPr="00004BB2" w:rsidRDefault="000B6C60" w:rsidP="00B84774">
      <w:pPr>
        <w:pStyle w:val="Titre2"/>
      </w:pPr>
      <w:r w:rsidRPr="00004BB2">
        <w:t xml:space="preserve">Clientèle </w:t>
      </w:r>
    </w:p>
    <w:p w:rsidR="000B6C60" w:rsidRPr="00004BB2" w:rsidRDefault="00B84774" w:rsidP="000B6C60">
      <w:pPr>
        <w:pStyle w:val="corpsdedcision"/>
      </w:pPr>
      <w:r>
        <w:t>Parmi les résidents</w:t>
      </w:r>
      <w:r w:rsidR="006C6A02">
        <w:t xml:space="preserve">, </w:t>
      </w:r>
      <w:r>
        <w:t xml:space="preserve">21 occupent l’unité prothétique pour des troubles de comportement en plus de </w:t>
      </w:r>
      <w:r w:rsidRPr="001F59FC">
        <w:t>pertes cognitives et physiques</w:t>
      </w:r>
      <w:r>
        <w:t>. Le tiers de la clientèle fait de l’errance et néces</w:t>
      </w:r>
      <w:r w:rsidR="001F59FC">
        <w:t>site une surveillance étroite. 5</w:t>
      </w:r>
      <w:r>
        <w:t xml:space="preserve">0 résidents utilisent des mesures </w:t>
      </w:r>
      <w:r w:rsidR="006C6A02" w:rsidRPr="001F59FC">
        <w:t>alternatives comme les détecteurs de chute (« </w:t>
      </w:r>
      <w:r w:rsidR="006C6A02" w:rsidRPr="001F59FC">
        <w:rPr>
          <w:rStyle w:val="Citationintgre"/>
        </w:rPr>
        <w:t>tabs</w:t>
      </w:r>
      <w:r w:rsidR="006C6A02" w:rsidRPr="001F59FC">
        <w:t> »)</w:t>
      </w:r>
      <w:r w:rsidRPr="001F59FC">
        <w:t>, le tapis sensoriel ou autre pour prévenir les c</w:t>
      </w:r>
      <w:r w:rsidR="00FC6B8B" w:rsidRPr="001F59FC">
        <w:t>h</w:t>
      </w:r>
      <w:r w:rsidRPr="001F59FC">
        <w:t>utes</w:t>
      </w:r>
      <w:r>
        <w:t>.</w:t>
      </w:r>
    </w:p>
    <w:p w:rsidR="000B6C60" w:rsidRPr="00004BB2" w:rsidRDefault="00FC6B8B" w:rsidP="00FC6B8B">
      <w:pPr>
        <w:pStyle w:val="Titre2"/>
      </w:pPr>
      <w:r>
        <w:lastRenderedPageBreak/>
        <w:t>s</w:t>
      </w:r>
      <w:r w:rsidR="000B6C60" w:rsidRPr="00004BB2">
        <w:t>ervices médicaux/soins d’hygiène</w:t>
      </w:r>
    </w:p>
    <w:p w:rsidR="000B6C60" w:rsidRPr="00004BB2" w:rsidRDefault="000B6C60" w:rsidP="000B6C60">
      <w:pPr>
        <w:pStyle w:val="corpsdedcision"/>
      </w:pPr>
      <w:r w:rsidRPr="00004BB2">
        <w:t xml:space="preserve">La distribution, l’administration et la surveillance des médicaments, qui sont préparés par des pharmaciens, </w:t>
      </w:r>
      <w:r>
        <w:t>son</w:t>
      </w:r>
      <w:r w:rsidRPr="00004BB2">
        <w:t>t assurée</w:t>
      </w:r>
      <w:r>
        <w:t>s</w:t>
      </w:r>
      <w:r w:rsidRPr="00004BB2">
        <w:t xml:space="preserve"> pa</w:t>
      </w:r>
      <w:r>
        <w:t xml:space="preserve">r les infirmières auxiliaires. </w:t>
      </w:r>
      <w:r w:rsidRPr="00004BB2">
        <w:t>Les activités de soins spécifiques et de traitements sont administré</w:t>
      </w:r>
      <w:r>
        <w:t>e</w:t>
      </w:r>
      <w:r w:rsidRPr="00004BB2">
        <w:t>s et dispensé</w:t>
      </w:r>
      <w:r>
        <w:t>e</w:t>
      </w:r>
      <w:r w:rsidRPr="00004BB2">
        <w:t>s par le personnel auxiliaire.</w:t>
      </w:r>
    </w:p>
    <w:p w:rsidR="000B6C60" w:rsidRPr="00004BB2" w:rsidRDefault="000B6C60" w:rsidP="000B6C60">
      <w:pPr>
        <w:pStyle w:val="corpsdedcision"/>
      </w:pPr>
      <w:r w:rsidRPr="00004BB2">
        <w:t>Les préposés aux bénéficiaires veillent à assurer les so</w:t>
      </w:r>
      <w:r w:rsidR="00FF689E">
        <w:t>ins d’hygiène, les AVQ et AVD des</w:t>
      </w:r>
      <w:r w:rsidRPr="00004BB2">
        <w:t xml:space="preserve"> résident</w:t>
      </w:r>
      <w:r w:rsidR="00FF689E">
        <w:t>s</w:t>
      </w:r>
      <w:r w:rsidRPr="00004BB2">
        <w:t xml:space="preserve"> en respectant les plans de soin</w:t>
      </w:r>
      <w:r w:rsidR="00635CA6">
        <w:t>s</w:t>
      </w:r>
      <w:r w:rsidRPr="00004BB2">
        <w:t xml:space="preserve"> dans une optique de maintien des capacités résiduelles de la clientèle pour l’ensemble des 1</w:t>
      </w:r>
      <w:r w:rsidR="00FC6B8B">
        <w:t>40</w:t>
      </w:r>
      <w:r w:rsidRPr="00004BB2">
        <w:t xml:space="preserve"> clients. </w:t>
      </w:r>
    </w:p>
    <w:p w:rsidR="000B6C60" w:rsidRPr="00004BB2" w:rsidRDefault="00FC6B8B" w:rsidP="00FC6B8B">
      <w:pPr>
        <w:pStyle w:val="Titre2"/>
      </w:pPr>
      <w:r>
        <w:t>s</w:t>
      </w:r>
      <w:r w:rsidR="000B6C60" w:rsidRPr="00004BB2">
        <w:t>ervices auxiliaires</w:t>
      </w:r>
    </w:p>
    <w:p w:rsidR="000B6C60" w:rsidRPr="00004BB2" w:rsidRDefault="000B6C60" w:rsidP="000B6C60">
      <w:pPr>
        <w:pStyle w:val="corpsdedcision"/>
      </w:pPr>
      <w:r w:rsidRPr="00004BB2">
        <w:t xml:space="preserve">Le service alimentaire est fourni par l’établissement à l’ensemble des </w:t>
      </w:r>
      <w:r w:rsidR="00FC6B8B">
        <w:t>140</w:t>
      </w:r>
      <w:r w:rsidRPr="00004BB2">
        <w:t xml:space="preserve"> clients. De plus en plus de particularités et d’allergies alimentaires sont à considérer pour répondre aux besoins de la clientèle.</w:t>
      </w:r>
    </w:p>
    <w:p w:rsidR="000B6C60" w:rsidRPr="00684C29" w:rsidRDefault="000B6C60" w:rsidP="000B6C60">
      <w:pPr>
        <w:pStyle w:val="corpsdedcision"/>
        <w:rPr>
          <w:rFonts w:cs="Arial"/>
        </w:rPr>
      </w:pPr>
      <w:r w:rsidRPr="00004BB2">
        <w:t>Le service de buanderie pour l’ensemble de la literie est assuré par l’établissement tout comme l’entretien ménager des chambres, des appartements et des aires communes. L’entretien et les réparations des installations sont faits par le personnel de maintenance.</w:t>
      </w:r>
    </w:p>
    <w:p w:rsidR="000B6C60" w:rsidRDefault="00FC6B8B" w:rsidP="00FC6B8B">
      <w:pPr>
        <w:pStyle w:val="Titre1"/>
      </w:pPr>
      <w:r>
        <w:t>l’analyse et les motifs</w:t>
      </w:r>
    </w:p>
    <w:p w:rsidR="00FC6B8B" w:rsidRPr="00666B19" w:rsidRDefault="00FC6B8B" w:rsidP="00FC6B8B">
      <w:pPr>
        <w:pStyle w:val="corpsdedcision"/>
        <w:rPr>
          <w:lang w:eastAsia="fr-FR"/>
        </w:rPr>
      </w:pPr>
      <w:r>
        <w:rPr>
          <w:lang w:eastAsia="fr-FR"/>
        </w:rPr>
        <w:t xml:space="preserve">Selon l’article 111.0.19 du </w:t>
      </w:r>
      <w:r w:rsidRPr="006C6A02">
        <w:rPr>
          <w:i/>
          <w:lang w:eastAsia="fr-FR"/>
        </w:rPr>
        <w:t>Code</w:t>
      </w:r>
      <w:r w:rsidR="006C6A02" w:rsidRPr="006C6A02">
        <w:rPr>
          <w:i/>
          <w:lang w:eastAsia="fr-FR"/>
        </w:rPr>
        <w:t xml:space="preserve"> du travail</w:t>
      </w:r>
      <w:r w:rsidR="006C6A02" w:rsidRPr="00666B19">
        <w:rPr>
          <w:rStyle w:val="Appelnotedebasdep"/>
          <w:lang w:eastAsia="fr-FR"/>
        </w:rPr>
        <w:footnoteReference w:id="1"/>
      </w:r>
      <w:r w:rsidR="006C6A02">
        <w:rPr>
          <w:lang w:eastAsia="fr-FR"/>
        </w:rPr>
        <w:t xml:space="preserve"> (le </w:t>
      </w:r>
      <w:r w:rsidR="006C6A02" w:rsidRPr="006C6A02">
        <w:rPr>
          <w:b/>
          <w:lang w:eastAsia="fr-FR"/>
        </w:rPr>
        <w:t>Code</w:t>
      </w:r>
      <w:r w:rsidR="006C6A02">
        <w:rPr>
          <w:lang w:eastAsia="fr-FR"/>
        </w:rPr>
        <w:t>)</w:t>
      </w:r>
      <w:r>
        <w:rPr>
          <w:lang w:eastAsia="fr-FR"/>
        </w:rPr>
        <w:t xml:space="preserve">, il appartient au Tribunal d’évaluer la suffisance </w:t>
      </w:r>
      <w:r w:rsidR="00C005FD">
        <w:rPr>
          <w:lang w:eastAsia="fr-FR"/>
        </w:rPr>
        <w:t xml:space="preserve">de l’entente de </w:t>
      </w:r>
      <w:r>
        <w:rPr>
          <w:lang w:eastAsia="fr-FR"/>
        </w:rPr>
        <w:t xml:space="preserve">services </w:t>
      </w:r>
      <w:r w:rsidR="00C005FD">
        <w:rPr>
          <w:lang w:eastAsia="fr-FR"/>
        </w:rPr>
        <w:t xml:space="preserve">essentiels </w:t>
      </w:r>
      <w:r>
        <w:rPr>
          <w:lang w:eastAsia="fr-FR"/>
        </w:rPr>
        <w:t xml:space="preserve">intervenue entre les parties </w:t>
      </w:r>
      <w:r w:rsidR="00666B19">
        <w:rPr>
          <w:lang w:eastAsia="fr-FR"/>
        </w:rPr>
        <w:t>le </w:t>
      </w:r>
      <w:r w:rsidR="00945663" w:rsidRPr="00666B19">
        <w:rPr>
          <w:lang w:eastAsia="fr-FR"/>
        </w:rPr>
        <w:t>17 novembre 2017.</w:t>
      </w:r>
    </w:p>
    <w:p w:rsidR="00F80C18" w:rsidRPr="00666B19" w:rsidRDefault="00495A0C" w:rsidP="00F80C18">
      <w:pPr>
        <w:pStyle w:val="corpsdedcision"/>
        <w:tabs>
          <w:tab w:val="num" w:pos="360"/>
        </w:tabs>
        <w:rPr>
          <w:lang w:eastAsia="fr-FR"/>
        </w:rPr>
      </w:pPr>
      <w:r w:rsidRPr="00666B19">
        <w:rPr>
          <w:lang w:eastAsia="fr-FR"/>
        </w:rPr>
        <w:t>Pour évaluer la suffisance d’une entente de services essentiels à maintenir en cas de grève, le Tribunal est guidé par les seuls</w:t>
      </w:r>
      <w:r w:rsidR="00945663" w:rsidRPr="00666B19">
        <w:rPr>
          <w:lang w:eastAsia="fr-FR"/>
        </w:rPr>
        <w:t xml:space="preserve"> critères prévu</w:t>
      </w:r>
      <w:r w:rsidRPr="00666B19">
        <w:rPr>
          <w:lang w:eastAsia="fr-FR"/>
        </w:rPr>
        <w:t>s</w:t>
      </w:r>
      <w:r w:rsidR="00945663" w:rsidRPr="00666B19">
        <w:rPr>
          <w:lang w:eastAsia="fr-FR"/>
        </w:rPr>
        <w:t xml:space="preserve"> au Code</w:t>
      </w:r>
      <w:r w:rsidR="0037330F" w:rsidRPr="00666B19">
        <w:rPr>
          <w:lang w:eastAsia="fr-FR"/>
        </w:rPr>
        <w:t xml:space="preserve"> : </w:t>
      </w:r>
      <w:r w:rsidRPr="00666B19">
        <w:rPr>
          <w:lang w:eastAsia="fr-FR"/>
        </w:rPr>
        <w:t>c</w:t>
      </w:r>
      <w:r w:rsidR="00F80C18" w:rsidRPr="00666B19">
        <w:rPr>
          <w:lang w:eastAsia="fr-FR"/>
        </w:rPr>
        <w:t xml:space="preserve">es services doivent assurer que la santé ou la sécurité des résidents ne soit pas mise en danger lors de la grève. </w:t>
      </w:r>
    </w:p>
    <w:p w:rsidR="00F51B43" w:rsidRDefault="00495A0C" w:rsidP="0074379A">
      <w:pPr>
        <w:pStyle w:val="corpsdedcision"/>
        <w:tabs>
          <w:tab w:val="num" w:pos="720"/>
        </w:tabs>
        <w:rPr>
          <w:lang w:eastAsia="fr-FR"/>
        </w:rPr>
      </w:pPr>
      <w:r>
        <w:rPr>
          <w:lang w:eastAsia="fr-FR"/>
        </w:rPr>
        <w:t xml:space="preserve">Les parties ont convenu d’une </w:t>
      </w:r>
      <w:r w:rsidR="00F80C18">
        <w:rPr>
          <w:lang w:eastAsia="fr-FR"/>
        </w:rPr>
        <w:t xml:space="preserve">entente de services essentiels </w:t>
      </w:r>
      <w:r>
        <w:rPr>
          <w:lang w:eastAsia="fr-FR"/>
        </w:rPr>
        <w:t xml:space="preserve">qui </w:t>
      </w:r>
      <w:r w:rsidR="00F80C18">
        <w:rPr>
          <w:lang w:eastAsia="fr-FR"/>
        </w:rPr>
        <w:t xml:space="preserve">prévoit </w:t>
      </w:r>
      <w:r w:rsidR="0037330F">
        <w:rPr>
          <w:lang w:eastAsia="fr-FR"/>
        </w:rPr>
        <w:t>que</w:t>
      </w:r>
      <w:r w:rsidR="00F80C18">
        <w:rPr>
          <w:lang w:eastAsia="fr-FR"/>
        </w:rPr>
        <w:t xml:space="preserve"> les salariés exerceront la grève d</w:t>
      </w:r>
      <w:r w:rsidR="00F51B43">
        <w:rPr>
          <w:lang w:eastAsia="fr-FR"/>
        </w:rPr>
        <w:t xml:space="preserve">urant </w:t>
      </w:r>
      <w:r w:rsidR="00666B19">
        <w:rPr>
          <w:lang w:eastAsia="fr-FR"/>
        </w:rPr>
        <w:t>10 </w:t>
      </w:r>
      <w:r w:rsidR="00F80C18">
        <w:rPr>
          <w:lang w:eastAsia="fr-FR"/>
        </w:rPr>
        <w:t>% de leur temps de travail</w:t>
      </w:r>
      <w:r>
        <w:rPr>
          <w:lang w:eastAsia="fr-FR"/>
        </w:rPr>
        <w:t xml:space="preserve">. </w:t>
      </w:r>
      <w:r w:rsidR="00F51B43">
        <w:rPr>
          <w:lang w:eastAsia="fr-FR"/>
        </w:rPr>
        <w:t>Le Tribunal comprend que pe</w:t>
      </w:r>
      <w:r w:rsidR="00666B19">
        <w:rPr>
          <w:lang w:eastAsia="fr-FR"/>
        </w:rPr>
        <w:t>ndant la durée de la grève, 100 </w:t>
      </w:r>
      <w:r w:rsidR="00F51B43">
        <w:rPr>
          <w:lang w:eastAsia="fr-FR"/>
        </w:rPr>
        <w:t>% des salariés seront au travai</w:t>
      </w:r>
      <w:r w:rsidR="00666B19">
        <w:rPr>
          <w:lang w:eastAsia="fr-FR"/>
        </w:rPr>
        <w:t>l, mais ne travailleront que 90 </w:t>
      </w:r>
      <w:r w:rsidR="00F51B43">
        <w:rPr>
          <w:lang w:eastAsia="fr-FR"/>
        </w:rPr>
        <w:t>% du temps prévu à leur horaire habituel de travail, et ce, pour chaque quart de travail.</w:t>
      </w:r>
    </w:p>
    <w:p w:rsidR="00495A0C" w:rsidRDefault="00495A0C" w:rsidP="0074379A">
      <w:pPr>
        <w:pStyle w:val="corpsdedcision"/>
        <w:tabs>
          <w:tab w:val="num" w:pos="720"/>
        </w:tabs>
        <w:rPr>
          <w:lang w:eastAsia="fr-FR"/>
        </w:rPr>
      </w:pPr>
      <w:r>
        <w:rPr>
          <w:lang w:eastAsia="fr-FR"/>
        </w:rPr>
        <w:t>À ce 10</w:t>
      </w:r>
      <w:r w:rsidR="00FF689E">
        <w:rPr>
          <w:lang w:eastAsia="fr-FR"/>
        </w:rPr>
        <w:t> </w:t>
      </w:r>
      <w:r>
        <w:rPr>
          <w:lang w:eastAsia="fr-FR"/>
        </w:rPr>
        <w:t>% de temps de grève, s’ajoutent des tâches qui ne seraient pas effectuées</w:t>
      </w:r>
      <w:r w:rsidR="008C7C92">
        <w:rPr>
          <w:lang w:eastAsia="fr-FR"/>
        </w:rPr>
        <w:t xml:space="preserve">, </w:t>
      </w:r>
      <w:r>
        <w:rPr>
          <w:lang w:eastAsia="fr-FR"/>
        </w:rPr>
        <w:t>soit de façon générale, soit plus spécifiquement selon les titres d’emploi des salariés</w:t>
      </w:r>
      <w:r w:rsidR="008C7C92">
        <w:rPr>
          <w:lang w:eastAsia="fr-FR"/>
        </w:rPr>
        <w:t>.</w:t>
      </w:r>
      <w:r>
        <w:rPr>
          <w:lang w:eastAsia="fr-FR"/>
        </w:rPr>
        <w:t xml:space="preserve"> Ces </w:t>
      </w:r>
      <w:r>
        <w:rPr>
          <w:lang w:eastAsia="fr-FR"/>
        </w:rPr>
        <w:lastRenderedPageBreak/>
        <w:t xml:space="preserve">tâches sont décrites à l’Annexe 1 intitulée </w:t>
      </w:r>
      <w:r w:rsidR="008C7C92">
        <w:rPr>
          <w:lang w:eastAsia="fr-FR"/>
        </w:rPr>
        <w:t>« </w:t>
      </w:r>
      <w:r w:rsidRPr="008C7C92">
        <w:rPr>
          <w:rStyle w:val="Citationintgre"/>
        </w:rPr>
        <w:t xml:space="preserve">Tâches qui ne seront </w:t>
      </w:r>
      <w:r w:rsidRPr="005C0FEB">
        <w:rPr>
          <w:rStyle w:val="Citationintgre"/>
          <w:u w:val="single"/>
        </w:rPr>
        <w:t>pas effectuées</w:t>
      </w:r>
      <w:r w:rsidRPr="008C7C92">
        <w:rPr>
          <w:rStyle w:val="Citationintgre"/>
        </w:rPr>
        <w:t xml:space="preserve"> en raison de la grève</w:t>
      </w:r>
      <w:r>
        <w:rPr>
          <w:lang w:eastAsia="fr-FR"/>
        </w:rPr>
        <w:t> </w:t>
      </w:r>
      <w:r w:rsidR="008C7C92">
        <w:rPr>
          <w:lang w:eastAsia="fr-FR"/>
        </w:rPr>
        <w:t>»,</w:t>
      </w:r>
      <w:r>
        <w:rPr>
          <w:lang w:eastAsia="fr-FR"/>
        </w:rPr>
        <w:t xml:space="preserve"> l</w:t>
      </w:r>
      <w:r w:rsidR="008C7C92">
        <w:rPr>
          <w:lang w:eastAsia="fr-FR"/>
        </w:rPr>
        <w:t xml:space="preserve">aquelle </w:t>
      </w:r>
      <w:r>
        <w:rPr>
          <w:lang w:eastAsia="fr-FR"/>
        </w:rPr>
        <w:t>fait partie intégr</w:t>
      </w:r>
      <w:r w:rsidR="008C7C92">
        <w:rPr>
          <w:lang w:eastAsia="fr-FR"/>
        </w:rPr>
        <w:t>a</w:t>
      </w:r>
      <w:r>
        <w:rPr>
          <w:lang w:eastAsia="fr-FR"/>
        </w:rPr>
        <w:t>nte de l</w:t>
      </w:r>
      <w:r w:rsidR="008C7C92">
        <w:rPr>
          <w:lang w:eastAsia="fr-FR"/>
        </w:rPr>
        <w:t>’</w:t>
      </w:r>
      <w:r>
        <w:rPr>
          <w:lang w:eastAsia="fr-FR"/>
        </w:rPr>
        <w:t>entente de services essentiels intervenue le 17 novembre 2017.</w:t>
      </w:r>
    </w:p>
    <w:p w:rsidR="005C0FEB" w:rsidRDefault="00F51B43" w:rsidP="008D2727">
      <w:pPr>
        <w:pStyle w:val="corpsdedcision"/>
        <w:tabs>
          <w:tab w:val="num" w:pos="360"/>
        </w:tabs>
        <w:spacing w:after="240"/>
        <w:rPr>
          <w:lang w:eastAsia="fr-FR"/>
        </w:rPr>
      </w:pPr>
      <w:r>
        <w:rPr>
          <w:lang w:eastAsia="fr-FR"/>
        </w:rPr>
        <w:t xml:space="preserve"> </w:t>
      </w:r>
      <w:r w:rsidR="00553C79">
        <w:rPr>
          <w:lang w:eastAsia="fr-FR"/>
        </w:rPr>
        <w:t xml:space="preserve">Après analyse, le Tribunal conclut que les services essentiels tels qu’ils sont décrits à l’entente sont suffisants pour assurer la santé ou la sécurité des résidents durant </w:t>
      </w:r>
      <w:r w:rsidR="007723D0">
        <w:rPr>
          <w:lang w:eastAsia="fr-FR"/>
        </w:rPr>
        <w:t>l</w:t>
      </w:r>
      <w:r w:rsidR="00553C79">
        <w:rPr>
          <w:lang w:eastAsia="fr-FR"/>
        </w:rPr>
        <w:t>a grève à durée indéterminée devant d</w:t>
      </w:r>
      <w:r w:rsidR="00620ED3">
        <w:rPr>
          <w:lang w:eastAsia="fr-FR"/>
        </w:rPr>
        <w:t>ébuter le 22 novembre 2017, à 0 h </w:t>
      </w:r>
      <w:r w:rsidR="00553C79">
        <w:rPr>
          <w:lang w:eastAsia="fr-FR"/>
        </w:rPr>
        <w:t>01.</w:t>
      </w:r>
    </w:p>
    <w:p w:rsidR="005C0FEB" w:rsidRDefault="005C0FEB" w:rsidP="008D2727">
      <w:pPr>
        <w:pStyle w:val="corpsdedcision"/>
        <w:tabs>
          <w:tab w:val="num" w:pos="360"/>
        </w:tabs>
        <w:spacing w:after="240"/>
        <w:rPr>
          <w:lang w:eastAsia="fr-FR"/>
        </w:rPr>
      </w:pPr>
      <w:r>
        <w:rPr>
          <w:lang w:eastAsia="fr-FR"/>
        </w:rPr>
        <w:t>L</w:t>
      </w:r>
      <w:r w:rsidR="00F80C18">
        <w:rPr>
          <w:lang w:eastAsia="fr-FR"/>
        </w:rPr>
        <w:t xml:space="preserve">e Tribunal </w:t>
      </w:r>
      <w:r w:rsidR="007723D0">
        <w:rPr>
          <w:lang w:eastAsia="fr-FR"/>
        </w:rPr>
        <w:t xml:space="preserve">comprend </w:t>
      </w:r>
      <w:r w:rsidR="00F80C18">
        <w:rPr>
          <w:lang w:eastAsia="fr-FR"/>
        </w:rPr>
        <w:t xml:space="preserve">que </w:t>
      </w:r>
      <w:r w:rsidR="00FF689E">
        <w:rPr>
          <w:lang w:eastAsia="fr-FR"/>
        </w:rPr>
        <w:t>les salariés en grève le seront</w:t>
      </w:r>
      <w:r>
        <w:rPr>
          <w:lang w:eastAsia="fr-FR"/>
        </w:rPr>
        <w:t xml:space="preserve"> à tour de rôle dans chaque service ou unité de soins, pendant chaque quart de travail, de manière à assurer la continuité des soins et des services en tout temps.</w:t>
      </w:r>
    </w:p>
    <w:p w:rsidR="00F80C18" w:rsidRDefault="005C0FEB" w:rsidP="008349AE">
      <w:pPr>
        <w:pStyle w:val="corpsdedcision"/>
        <w:tabs>
          <w:tab w:val="num" w:pos="360"/>
        </w:tabs>
        <w:spacing w:after="240"/>
        <w:rPr>
          <w:lang w:eastAsia="fr-FR"/>
        </w:rPr>
      </w:pPr>
      <w:r>
        <w:rPr>
          <w:lang w:eastAsia="fr-FR"/>
        </w:rPr>
        <w:t xml:space="preserve">Le Tribunal comprend également que </w:t>
      </w:r>
      <w:r w:rsidR="00F80C18">
        <w:rPr>
          <w:lang w:eastAsia="fr-FR"/>
        </w:rPr>
        <w:t>toutes les tâches qui ne sont pas mentionnées à l’Annexe 1 doivent être effectuées, et ce, de façon normale et usuelle.</w:t>
      </w:r>
      <w:r>
        <w:rPr>
          <w:lang w:eastAsia="fr-FR"/>
        </w:rPr>
        <w:t xml:space="preserve"> </w:t>
      </w:r>
      <w:r w:rsidR="00F80C18">
        <w:rPr>
          <w:lang w:eastAsia="fr-FR"/>
        </w:rPr>
        <w:t>Ainsi, les changements de culotte d’incontinence, la levée et le coucher des résidents, la distribution  des médicaments, l’aide à l’alimentation</w:t>
      </w:r>
      <w:r w:rsidR="00B329ED">
        <w:rPr>
          <w:lang w:eastAsia="fr-FR"/>
        </w:rPr>
        <w:t xml:space="preserve">, les bains et les douches </w:t>
      </w:r>
      <w:r w:rsidR="00F80C18">
        <w:rPr>
          <w:lang w:eastAsia="fr-FR"/>
        </w:rPr>
        <w:t>ou autre</w:t>
      </w:r>
      <w:r w:rsidR="00B329ED">
        <w:rPr>
          <w:lang w:eastAsia="fr-FR"/>
        </w:rPr>
        <w:t xml:space="preserve">s </w:t>
      </w:r>
      <w:r w:rsidR="00F80C18">
        <w:rPr>
          <w:lang w:eastAsia="fr-FR"/>
        </w:rPr>
        <w:t xml:space="preserve"> soin</w:t>
      </w:r>
      <w:r w:rsidR="00B329ED">
        <w:rPr>
          <w:lang w:eastAsia="fr-FR"/>
        </w:rPr>
        <w:t>s</w:t>
      </w:r>
      <w:r w:rsidR="00F80C18">
        <w:rPr>
          <w:lang w:eastAsia="fr-FR"/>
        </w:rPr>
        <w:t xml:space="preserve"> seront donnés de manière habituelle, c’est-à-dire que la tâche doit être </w:t>
      </w:r>
      <w:r w:rsidR="00B329ED">
        <w:rPr>
          <w:lang w:eastAsia="fr-FR"/>
        </w:rPr>
        <w:t xml:space="preserve">terminée </w:t>
      </w:r>
      <w:r w:rsidR="00F80C18">
        <w:rPr>
          <w:lang w:eastAsia="fr-FR"/>
        </w:rPr>
        <w:t>avant que le salarié ne puisse exercer son temps de grève.</w:t>
      </w:r>
    </w:p>
    <w:p w:rsidR="007723D0" w:rsidRDefault="00F80C18" w:rsidP="00F80C18">
      <w:pPr>
        <w:pStyle w:val="corpsdedcision"/>
        <w:tabs>
          <w:tab w:val="num" w:pos="720"/>
        </w:tabs>
        <w:spacing w:after="240"/>
        <w:rPr>
          <w:lang w:eastAsia="fr-FR"/>
        </w:rPr>
      </w:pPr>
      <w:r>
        <w:rPr>
          <w:lang w:eastAsia="fr-FR"/>
        </w:rPr>
        <w:t xml:space="preserve"> </w:t>
      </w:r>
      <w:r w:rsidR="00B329ED">
        <w:rPr>
          <w:lang w:eastAsia="fr-FR"/>
        </w:rPr>
        <w:t>De plus, lors d’</w:t>
      </w:r>
      <w:r>
        <w:rPr>
          <w:lang w:eastAsia="fr-FR"/>
        </w:rPr>
        <w:t xml:space="preserve">une situation </w:t>
      </w:r>
      <w:r w:rsidR="00B329ED">
        <w:rPr>
          <w:lang w:eastAsia="fr-FR"/>
        </w:rPr>
        <w:t xml:space="preserve">de force majeure ou en cas d’urgence, </w:t>
      </w:r>
      <w:r>
        <w:rPr>
          <w:lang w:eastAsia="fr-FR"/>
        </w:rPr>
        <w:t xml:space="preserve">le </w:t>
      </w:r>
      <w:r w:rsidR="00B329ED">
        <w:rPr>
          <w:lang w:eastAsia="fr-FR"/>
        </w:rPr>
        <w:t>s</w:t>
      </w:r>
      <w:r>
        <w:rPr>
          <w:lang w:eastAsia="fr-FR"/>
        </w:rPr>
        <w:t xml:space="preserve">yndicat s’engage à fournir, à la demande de l’employeur et selon les besoins, le </w:t>
      </w:r>
      <w:r w:rsidR="00B329ED">
        <w:rPr>
          <w:lang w:eastAsia="fr-FR"/>
        </w:rPr>
        <w:t xml:space="preserve">nombre de salariés qualifiés </w:t>
      </w:r>
      <w:r w:rsidR="00553C79">
        <w:rPr>
          <w:lang w:eastAsia="fr-FR"/>
        </w:rPr>
        <w:t>requis pour répondre à la situation.</w:t>
      </w:r>
    </w:p>
    <w:p w:rsidR="007723D0" w:rsidRDefault="007723D0" w:rsidP="00F80C18">
      <w:pPr>
        <w:pStyle w:val="corpsdedcision"/>
        <w:tabs>
          <w:tab w:val="num" w:pos="720"/>
        </w:tabs>
        <w:spacing w:after="240"/>
        <w:rPr>
          <w:lang w:eastAsia="fr-FR"/>
        </w:rPr>
      </w:pPr>
      <w:r>
        <w:rPr>
          <w:lang w:eastAsia="fr-FR"/>
        </w:rPr>
        <w:t xml:space="preserve">Le </w:t>
      </w:r>
      <w:r w:rsidR="00C005FD">
        <w:rPr>
          <w:lang w:eastAsia="fr-FR"/>
        </w:rPr>
        <w:t>T</w:t>
      </w:r>
      <w:r>
        <w:rPr>
          <w:lang w:eastAsia="fr-FR"/>
        </w:rPr>
        <w:t xml:space="preserve">ribunal rappelle à </w:t>
      </w:r>
      <w:r w:rsidR="00C005FD">
        <w:rPr>
          <w:lang w:eastAsia="fr-FR"/>
        </w:rPr>
        <w:t>l’employeur</w:t>
      </w:r>
      <w:r>
        <w:rPr>
          <w:lang w:eastAsia="fr-FR"/>
        </w:rPr>
        <w:t xml:space="preserve"> qu’il doit fournir au syndicat les horaires de travail de même que toutes les modifications qui peuvent y </w:t>
      </w:r>
      <w:r w:rsidR="00C005FD">
        <w:rPr>
          <w:lang w:eastAsia="fr-FR"/>
        </w:rPr>
        <w:t>survenir</w:t>
      </w:r>
      <w:r w:rsidR="005C0FEB">
        <w:rPr>
          <w:lang w:eastAsia="fr-FR"/>
        </w:rPr>
        <w:t xml:space="preserve"> tout au long de la grève et dans les meilleurs délais</w:t>
      </w:r>
      <w:r w:rsidR="00C005FD">
        <w:rPr>
          <w:lang w:eastAsia="fr-FR"/>
        </w:rPr>
        <w:t>.</w:t>
      </w:r>
      <w:r>
        <w:rPr>
          <w:lang w:eastAsia="fr-FR"/>
        </w:rPr>
        <w:t xml:space="preserve"> Dans la mesure où le syndicat a </w:t>
      </w:r>
      <w:r w:rsidR="00C005FD">
        <w:rPr>
          <w:lang w:eastAsia="fr-FR"/>
        </w:rPr>
        <w:t>l</w:t>
      </w:r>
      <w:r>
        <w:rPr>
          <w:lang w:eastAsia="fr-FR"/>
        </w:rPr>
        <w:t xml:space="preserve">es informations sur les horaires en temps utile, le </w:t>
      </w:r>
      <w:r w:rsidR="00C005FD">
        <w:rPr>
          <w:lang w:eastAsia="fr-FR"/>
        </w:rPr>
        <w:t>T</w:t>
      </w:r>
      <w:r>
        <w:rPr>
          <w:lang w:eastAsia="fr-FR"/>
        </w:rPr>
        <w:t>ribunal comprend qu’il remett</w:t>
      </w:r>
      <w:r w:rsidR="00C005FD">
        <w:rPr>
          <w:lang w:eastAsia="fr-FR"/>
        </w:rPr>
        <w:t>ra</w:t>
      </w:r>
      <w:r>
        <w:rPr>
          <w:lang w:eastAsia="fr-FR"/>
        </w:rPr>
        <w:t xml:space="preserve"> à l’</w:t>
      </w:r>
      <w:r w:rsidR="00C005FD">
        <w:rPr>
          <w:lang w:eastAsia="fr-FR"/>
        </w:rPr>
        <w:t>employeur</w:t>
      </w:r>
      <w:r>
        <w:rPr>
          <w:lang w:eastAsia="fr-FR"/>
        </w:rPr>
        <w:t>, 48 heures avant le début de la grève</w:t>
      </w:r>
      <w:r w:rsidR="00C005FD">
        <w:rPr>
          <w:lang w:eastAsia="fr-FR"/>
        </w:rPr>
        <w:t>,</w:t>
      </w:r>
      <w:r>
        <w:rPr>
          <w:lang w:eastAsia="fr-FR"/>
        </w:rPr>
        <w:t xml:space="preserve"> une liste </w:t>
      </w:r>
      <w:r w:rsidR="00C005FD">
        <w:rPr>
          <w:lang w:eastAsia="fr-FR"/>
        </w:rPr>
        <w:t xml:space="preserve">des salariés désignés pour fournir les services essentiels. </w:t>
      </w:r>
      <w:r>
        <w:rPr>
          <w:lang w:eastAsia="fr-FR"/>
        </w:rPr>
        <w:t xml:space="preserve"> </w:t>
      </w:r>
    </w:p>
    <w:p w:rsidR="00F80C18" w:rsidRDefault="007723D0" w:rsidP="00666B19">
      <w:pPr>
        <w:pStyle w:val="corpsdedcision"/>
        <w:tabs>
          <w:tab w:val="num" w:pos="720"/>
        </w:tabs>
        <w:spacing w:after="720"/>
        <w:rPr>
          <w:lang w:eastAsia="fr-FR"/>
        </w:rPr>
      </w:pPr>
      <w:r w:rsidRPr="001F59FC">
        <w:rPr>
          <w:lang w:eastAsia="fr-FR"/>
        </w:rPr>
        <w:t xml:space="preserve">Le </w:t>
      </w:r>
      <w:r w:rsidR="00C005FD" w:rsidRPr="001F59FC">
        <w:rPr>
          <w:lang w:eastAsia="fr-FR"/>
        </w:rPr>
        <w:t>T</w:t>
      </w:r>
      <w:r w:rsidRPr="001F59FC">
        <w:rPr>
          <w:lang w:eastAsia="fr-FR"/>
        </w:rPr>
        <w:t xml:space="preserve">ribunal </w:t>
      </w:r>
      <w:r w:rsidR="00C005FD" w:rsidRPr="001F59FC">
        <w:rPr>
          <w:lang w:eastAsia="fr-FR"/>
        </w:rPr>
        <w:t xml:space="preserve">spécifie </w:t>
      </w:r>
      <w:r w:rsidRPr="001F59FC">
        <w:rPr>
          <w:lang w:eastAsia="fr-FR"/>
        </w:rPr>
        <w:t>que le personnel-cadre</w:t>
      </w:r>
      <w:r w:rsidR="00C005FD" w:rsidRPr="001F59FC">
        <w:rPr>
          <w:lang w:eastAsia="fr-FR"/>
        </w:rPr>
        <w:t>,</w:t>
      </w:r>
      <w:r w:rsidRPr="001F59FC">
        <w:rPr>
          <w:lang w:eastAsia="fr-FR"/>
        </w:rPr>
        <w:t xml:space="preserve"> embauché avant le début de la période de négociation</w:t>
      </w:r>
      <w:r w:rsidR="00C005FD" w:rsidRPr="001F59FC">
        <w:rPr>
          <w:lang w:eastAsia="fr-FR"/>
        </w:rPr>
        <w:t>,</w:t>
      </w:r>
      <w:r w:rsidRPr="001F59FC">
        <w:rPr>
          <w:lang w:eastAsia="fr-FR"/>
        </w:rPr>
        <w:t xml:space="preserve"> peut effectuer toutes les tâches qui ne sont pas des services essentiels devant être maintenus par les salariés</w:t>
      </w:r>
      <w:r w:rsidR="00C005FD">
        <w:rPr>
          <w:lang w:eastAsia="fr-FR"/>
        </w:rPr>
        <w:t>.</w:t>
      </w:r>
      <w:r w:rsidR="00553C79">
        <w:rPr>
          <w:lang w:eastAsia="fr-FR"/>
        </w:rPr>
        <w:t xml:space="preserve"> </w:t>
      </w:r>
    </w:p>
    <w:p w:rsidR="00F80C18" w:rsidRDefault="00F80C18" w:rsidP="00F80C18">
      <w:pPr>
        <w:pStyle w:val="Dispositif"/>
      </w:pPr>
      <w:r>
        <w:rPr>
          <w:b/>
        </w:rPr>
        <w:t>PAR CES MOTIFS, LE TRIBUNAL ADMINISTRATIF DU TRAVAIL :</w:t>
      </w:r>
    </w:p>
    <w:p w:rsidR="00F80C18" w:rsidRDefault="00F80C18" w:rsidP="001F59FC">
      <w:pPr>
        <w:pStyle w:val="Dispositif"/>
        <w:ind w:left="2127" w:hanging="2127"/>
      </w:pPr>
      <w:r w:rsidRPr="00551778">
        <w:rPr>
          <w:b/>
        </w:rPr>
        <w:t xml:space="preserve">DÉCLARE </w:t>
      </w:r>
      <w:r>
        <w:tab/>
      </w:r>
      <w:r w:rsidR="0037330F">
        <w:t xml:space="preserve">que les services essentiels qui sont prévus </w:t>
      </w:r>
      <w:r>
        <w:t>à l’entente du </w:t>
      </w:r>
      <w:r w:rsidR="00F81425">
        <w:t>17 novembre</w:t>
      </w:r>
      <w:r>
        <w:t xml:space="preserve"> </w:t>
      </w:r>
      <w:r w:rsidR="00F81425">
        <w:t>2017</w:t>
      </w:r>
      <w:r w:rsidR="005C0FEB">
        <w:t xml:space="preserve">, avec les précisions apportées </w:t>
      </w:r>
      <w:r w:rsidR="00917B4F">
        <w:t>dans l</w:t>
      </w:r>
      <w:r w:rsidR="005C0FEB">
        <w:t>a présente</w:t>
      </w:r>
      <w:r w:rsidR="00917B4F">
        <w:t xml:space="preserve"> décision</w:t>
      </w:r>
      <w:r w:rsidR="005C0FEB">
        <w:t>, sont suffisants</w:t>
      </w:r>
      <w:r w:rsidR="00F81425">
        <w:t xml:space="preserve"> afin que</w:t>
      </w:r>
      <w:r>
        <w:t xml:space="preserve"> la santé ou la sécurité des résidents ne soit pas mise en danger;</w:t>
      </w:r>
    </w:p>
    <w:p w:rsidR="00F80C18" w:rsidRDefault="00F80C18" w:rsidP="001F59FC">
      <w:pPr>
        <w:pStyle w:val="Dispositif"/>
        <w:ind w:left="2127" w:hanging="2127"/>
      </w:pPr>
      <w:r w:rsidRPr="00551778">
        <w:rPr>
          <w:b/>
        </w:rPr>
        <w:t xml:space="preserve">DÉCLARE </w:t>
      </w:r>
      <w:r>
        <w:tab/>
        <w:t xml:space="preserve">que les services </w:t>
      </w:r>
      <w:r w:rsidR="00553C79">
        <w:t xml:space="preserve">essentiels </w:t>
      </w:r>
      <w:r>
        <w:t xml:space="preserve">à fournir pendant la grève sont ceux énumérés à l’entente du </w:t>
      </w:r>
      <w:r w:rsidR="00F81425">
        <w:t xml:space="preserve">17 novembre </w:t>
      </w:r>
      <w:r>
        <w:t xml:space="preserve">2017, </w:t>
      </w:r>
      <w:r w:rsidR="00917B4F" w:rsidRPr="001F59FC">
        <w:t xml:space="preserve">incluant l’Annexe 1, </w:t>
      </w:r>
      <w:r w:rsidRPr="001F59FC">
        <w:t>annexée à la présente décision</w:t>
      </w:r>
      <w:r w:rsidR="00917B4F" w:rsidRPr="001F59FC">
        <w:t>, comme si au long récités</w:t>
      </w:r>
      <w:r w:rsidR="00553C79">
        <w:t>;</w:t>
      </w:r>
    </w:p>
    <w:p w:rsidR="00F80C18" w:rsidRDefault="00F80C18" w:rsidP="001F59FC">
      <w:pPr>
        <w:pStyle w:val="Dispositif"/>
        <w:ind w:left="2127" w:hanging="2127"/>
      </w:pPr>
      <w:r w:rsidRPr="00551778">
        <w:rPr>
          <w:b/>
        </w:rPr>
        <w:t>RAPPELLE</w:t>
      </w:r>
      <w:r>
        <w:t xml:space="preserve"> </w:t>
      </w:r>
      <w:r>
        <w:tab/>
        <w:t>aux parties qu</w:t>
      </w:r>
      <w:r w:rsidR="00553C79">
        <w:t>’advenant des</w:t>
      </w:r>
      <w:r>
        <w:t xml:space="preserve"> difficultés </w:t>
      </w:r>
      <w:r w:rsidR="00917B4F">
        <w:t>sur la</w:t>
      </w:r>
      <w:r>
        <w:t xml:space="preserve"> mise en application de</w:t>
      </w:r>
      <w:r w:rsidR="00553C79">
        <w:t xml:space="preserve"> l’ente</w:t>
      </w:r>
      <w:r w:rsidR="00917B4F">
        <w:t>nte de services essentiels</w:t>
      </w:r>
      <w:r>
        <w:t xml:space="preserve">, les parties </w:t>
      </w:r>
      <w:r w:rsidR="00553C79">
        <w:t xml:space="preserve">doivent en faire </w:t>
      </w:r>
      <w:r>
        <w:t xml:space="preserve">part </w:t>
      </w:r>
      <w:r w:rsidR="00553C79">
        <w:t xml:space="preserve">dans les plus brefs délais </w:t>
      </w:r>
      <w:r>
        <w:t xml:space="preserve">au Tribunal </w:t>
      </w:r>
      <w:r w:rsidR="00553C79">
        <w:t xml:space="preserve">afin </w:t>
      </w:r>
      <w:r>
        <w:t>que celui-ci puisse leur fournir l’aide nécessaire;</w:t>
      </w:r>
    </w:p>
    <w:p w:rsidR="00F80C18" w:rsidRDefault="00F80C18" w:rsidP="001F59FC">
      <w:pPr>
        <w:pStyle w:val="Dispositif"/>
        <w:ind w:left="2127" w:hanging="2127"/>
      </w:pPr>
      <w:r>
        <w:rPr>
          <w:b/>
        </w:rPr>
        <w:t>DEMANDE</w:t>
      </w:r>
      <w:r>
        <w:rPr>
          <w:b/>
        </w:rPr>
        <w:tab/>
      </w:r>
      <w:r>
        <w:t xml:space="preserve">au </w:t>
      </w:r>
      <w:r>
        <w:rPr>
          <w:b/>
        </w:rPr>
        <w:t xml:space="preserve">Syndicat québécois des employées et employés de service, section locale 298 (FTQ) </w:t>
      </w:r>
      <w:r>
        <w:t>de faire connaître et expliquer aux salariés la teneur de la présente décision.</w:t>
      </w:r>
    </w:p>
    <w:p w:rsidR="00F80C18" w:rsidRPr="00551778" w:rsidRDefault="00F80C18" w:rsidP="00F80C18">
      <w:pPr>
        <w:pStyle w:val="Dispositif"/>
        <w:ind w:left="2268" w:hanging="2268"/>
      </w:pPr>
    </w:p>
    <w:tbl>
      <w:tblPr>
        <w:tblW w:w="9590" w:type="dxa"/>
        <w:tblLayout w:type="fixed"/>
        <w:tblCellMar>
          <w:left w:w="70" w:type="dxa"/>
          <w:right w:w="70" w:type="dxa"/>
        </w:tblCellMar>
        <w:tblLook w:val="0000" w:firstRow="0" w:lastRow="0" w:firstColumn="0" w:lastColumn="0" w:noHBand="0" w:noVBand="0"/>
      </w:tblPr>
      <w:tblGrid>
        <w:gridCol w:w="4795"/>
        <w:gridCol w:w="4795"/>
      </w:tblGrid>
      <w:tr w:rsidR="00C74B6F">
        <w:tc>
          <w:tcPr>
            <w:tcW w:w="4795" w:type="dxa"/>
          </w:tcPr>
          <w:p w:rsidR="00C74B6F" w:rsidRDefault="00C74B6F"/>
        </w:tc>
        <w:tc>
          <w:tcPr>
            <w:tcW w:w="4795" w:type="dxa"/>
          </w:tcPr>
          <w:p w:rsidR="00C74B6F" w:rsidRDefault="00C74B6F">
            <w:bookmarkStart w:id="7" w:name="signature"/>
            <w:bookmarkEnd w:id="7"/>
            <w:r>
              <w:t>__________________________________</w:t>
            </w:r>
          </w:p>
        </w:tc>
      </w:tr>
      <w:tr w:rsidR="00C74B6F">
        <w:tc>
          <w:tcPr>
            <w:tcW w:w="4795" w:type="dxa"/>
          </w:tcPr>
          <w:p w:rsidR="00C74B6F" w:rsidRDefault="00C74B6F"/>
        </w:tc>
        <w:tc>
          <w:tcPr>
            <w:tcW w:w="4795" w:type="dxa"/>
          </w:tcPr>
          <w:p w:rsidR="00C74B6F" w:rsidRDefault="00B277F5">
            <w:r>
              <w:t>Esther Plante</w:t>
            </w:r>
          </w:p>
        </w:tc>
      </w:tr>
      <w:tr w:rsidR="00C74B6F">
        <w:trPr>
          <w:cantSplit/>
        </w:trPr>
        <w:tc>
          <w:tcPr>
            <w:tcW w:w="9590" w:type="dxa"/>
            <w:gridSpan w:val="2"/>
          </w:tcPr>
          <w:p w:rsidR="00C74B6F" w:rsidRDefault="00C74B6F"/>
        </w:tc>
      </w:tr>
      <w:tr w:rsidR="00C74B6F">
        <w:trPr>
          <w:cantSplit/>
        </w:trPr>
        <w:tc>
          <w:tcPr>
            <w:tcW w:w="9590" w:type="dxa"/>
            <w:gridSpan w:val="2"/>
          </w:tcPr>
          <w:p w:rsidR="00C74B6F" w:rsidRPr="00C912F9" w:rsidRDefault="00C74B6F" w:rsidP="00EC5C8D">
            <w:pPr>
              <w:tabs>
                <w:tab w:val="left" w:pos="1592"/>
              </w:tabs>
            </w:pPr>
          </w:p>
        </w:tc>
      </w:tr>
      <w:tr w:rsidR="00C74B6F">
        <w:trPr>
          <w:cantSplit/>
        </w:trPr>
        <w:tc>
          <w:tcPr>
            <w:tcW w:w="9590" w:type="dxa"/>
            <w:gridSpan w:val="2"/>
          </w:tcPr>
          <w:p w:rsidR="00C74B6F" w:rsidRDefault="00C74B6F"/>
        </w:tc>
      </w:tr>
      <w:tr w:rsidR="00C74B6F">
        <w:trPr>
          <w:cantSplit/>
        </w:trPr>
        <w:tc>
          <w:tcPr>
            <w:tcW w:w="9590" w:type="dxa"/>
            <w:gridSpan w:val="2"/>
          </w:tcPr>
          <w:p w:rsidR="00C74B6F" w:rsidRDefault="00C74B6F"/>
        </w:tc>
      </w:tr>
      <w:tr w:rsidR="00C74B6F">
        <w:trPr>
          <w:cantSplit/>
        </w:trPr>
        <w:tc>
          <w:tcPr>
            <w:tcW w:w="9590" w:type="dxa"/>
            <w:gridSpan w:val="2"/>
          </w:tcPr>
          <w:p w:rsidR="00C74B6F" w:rsidRDefault="00B277F5">
            <w:pPr>
              <w:pStyle w:val="zSoquijdatNomProcureurDem"/>
            </w:pPr>
            <w:r>
              <w:t>M</w:t>
            </w:r>
            <w:r w:rsidRPr="00B277F5">
              <w:rPr>
                <w:vertAlign w:val="superscript"/>
              </w:rPr>
              <w:t>me</w:t>
            </w:r>
            <w:r>
              <w:t xml:space="preserve"> Julie Salette</w:t>
            </w:r>
          </w:p>
        </w:tc>
      </w:tr>
      <w:tr w:rsidR="00C74B6F">
        <w:trPr>
          <w:cantSplit/>
        </w:trPr>
        <w:tc>
          <w:tcPr>
            <w:tcW w:w="9590" w:type="dxa"/>
            <w:gridSpan w:val="2"/>
          </w:tcPr>
          <w:p w:rsidR="00C74B6F" w:rsidRDefault="00CB05A7">
            <w:pPr>
              <w:pStyle w:val="zSoquijlblProcureurDem"/>
            </w:pPr>
            <w:r>
              <w:t>Pour la partie demanderesse</w:t>
            </w:r>
          </w:p>
        </w:tc>
      </w:tr>
      <w:tr w:rsidR="00C74B6F">
        <w:trPr>
          <w:cantSplit/>
        </w:trPr>
        <w:tc>
          <w:tcPr>
            <w:tcW w:w="9590" w:type="dxa"/>
            <w:gridSpan w:val="2"/>
          </w:tcPr>
          <w:p w:rsidR="00C74B6F" w:rsidRDefault="00C74B6F"/>
        </w:tc>
      </w:tr>
      <w:tr w:rsidR="00C74B6F">
        <w:trPr>
          <w:cantSplit/>
        </w:trPr>
        <w:tc>
          <w:tcPr>
            <w:tcW w:w="9590" w:type="dxa"/>
            <w:gridSpan w:val="2"/>
          </w:tcPr>
          <w:p w:rsidR="00C74B6F" w:rsidRDefault="00B277F5">
            <w:pPr>
              <w:pStyle w:val="zSoquijdatNomProcureurDef"/>
            </w:pPr>
            <w:r>
              <w:t>M. Jean Labelle</w:t>
            </w:r>
          </w:p>
        </w:tc>
      </w:tr>
      <w:tr w:rsidR="00C74B6F">
        <w:trPr>
          <w:cantSplit/>
        </w:trPr>
        <w:tc>
          <w:tcPr>
            <w:tcW w:w="9590" w:type="dxa"/>
            <w:gridSpan w:val="2"/>
          </w:tcPr>
          <w:p w:rsidR="00C74B6F" w:rsidRDefault="00CB05A7" w:rsidP="00B277F5">
            <w:pPr>
              <w:pStyle w:val="zSoquijlblProcureurDef"/>
            </w:pPr>
            <w:r>
              <w:t xml:space="preserve">Pour la partie </w:t>
            </w:r>
            <w:r w:rsidR="00B277F5">
              <w:t>défenderesse</w:t>
            </w:r>
          </w:p>
        </w:tc>
      </w:tr>
      <w:tr w:rsidR="007569DE">
        <w:trPr>
          <w:cantSplit/>
        </w:trPr>
        <w:tc>
          <w:tcPr>
            <w:tcW w:w="9590" w:type="dxa"/>
            <w:gridSpan w:val="2"/>
          </w:tcPr>
          <w:p w:rsidR="007569DE" w:rsidRDefault="007569DE"/>
        </w:tc>
      </w:tr>
      <w:tr w:rsidR="00C15A3F">
        <w:trPr>
          <w:cantSplit/>
        </w:trPr>
        <w:tc>
          <w:tcPr>
            <w:tcW w:w="9590" w:type="dxa"/>
            <w:gridSpan w:val="2"/>
          </w:tcPr>
          <w:p w:rsidR="00C15A3F" w:rsidRDefault="00C15A3F">
            <w:pPr>
              <w:pStyle w:val="zSoquijlblProcureurInt"/>
            </w:pPr>
          </w:p>
        </w:tc>
      </w:tr>
      <w:tr w:rsidR="00C15A3F">
        <w:trPr>
          <w:cantSplit/>
        </w:trPr>
        <w:tc>
          <w:tcPr>
            <w:tcW w:w="9590" w:type="dxa"/>
            <w:gridSpan w:val="2"/>
          </w:tcPr>
          <w:p w:rsidR="00C15A3F" w:rsidRDefault="00B277F5" w:rsidP="00B277F5">
            <w:pPr>
              <w:pStyle w:val="zSoquijdatDateAudience"/>
              <w:tabs>
                <w:tab w:val="left" w:pos="2268"/>
              </w:tabs>
            </w:pPr>
            <w:r>
              <w:t>Date de l’</w:t>
            </w:r>
            <w:r w:rsidR="00C15A3F">
              <w:t>audience :</w:t>
            </w:r>
            <w:r w:rsidR="00597016">
              <w:tab/>
            </w:r>
            <w:r>
              <w:t>17 novembre 2017</w:t>
            </w:r>
          </w:p>
        </w:tc>
      </w:tr>
    </w:tbl>
    <w:p w:rsidR="009A135C" w:rsidRDefault="009A135C" w:rsidP="009A135C">
      <w:pPr>
        <w:pStyle w:val="articlesdelaLSST"/>
        <w:ind w:left="0"/>
      </w:pPr>
    </w:p>
    <w:p w:rsidR="00E570CA" w:rsidRDefault="00B277F5" w:rsidP="009A135C">
      <w:pPr>
        <w:pStyle w:val="articlesdelaLSST"/>
        <w:ind w:left="0"/>
      </w:pPr>
      <w:r>
        <w:t>/ct</w:t>
      </w:r>
    </w:p>
    <w:p w:rsidR="00E570CA" w:rsidRDefault="00E570CA">
      <w:pPr>
        <w:rPr>
          <w:sz w:val="20"/>
        </w:rPr>
      </w:pPr>
      <w:r>
        <w:br w:type="page"/>
      </w:r>
    </w:p>
    <w:p w:rsidR="00B277F5" w:rsidRDefault="00E570CA" w:rsidP="00E570CA">
      <w:pPr>
        <w:pStyle w:val="articlesdelaLSST"/>
        <w:ind w:left="0"/>
        <w:jc w:val="center"/>
      </w:pPr>
      <w:r>
        <w:t>ANNEXE</w:t>
      </w:r>
    </w:p>
    <w:p w:rsidR="00E570CA" w:rsidRDefault="00E570CA" w:rsidP="00E570CA">
      <w:pPr>
        <w:pStyle w:val="articlesdelaLSST"/>
        <w:ind w:left="0"/>
        <w:jc w:val="center"/>
      </w:pPr>
    </w:p>
    <w:p w:rsidR="00E570CA" w:rsidRDefault="00573BC3" w:rsidP="00E570CA">
      <w:pPr>
        <w:pStyle w:val="articlesdelaLSST"/>
        <w:ind w:left="0"/>
        <w:jc w:val="lef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pt;height:604.9pt">
            <v:imagedata r:id="rId7" o:title="doc028626_001"/>
          </v:shape>
        </w:pict>
      </w:r>
    </w:p>
    <w:p w:rsidR="00E570CA" w:rsidRDefault="00573BC3" w:rsidP="00E570CA">
      <w:pPr>
        <w:pStyle w:val="articlesdelaLSST"/>
        <w:ind w:left="0"/>
        <w:jc w:val="left"/>
      </w:pPr>
      <w:r>
        <w:pict>
          <v:shape id="_x0000_i1026" type="#_x0000_t75" style="width:467.7pt;height:604.9pt">
            <v:imagedata r:id="rId8" o:title="doc028626_002"/>
          </v:shape>
        </w:pict>
      </w:r>
      <w:r>
        <w:pict>
          <v:shape id="_x0000_i1027" type="#_x0000_t75" style="width:467.7pt;height:604.9pt">
            <v:imagedata r:id="rId9" o:title="doc028626_003"/>
          </v:shape>
        </w:pict>
      </w:r>
      <w:r>
        <w:pict>
          <v:shape id="_x0000_i1028" type="#_x0000_t75" style="width:467.7pt;height:604.9pt">
            <v:imagedata r:id="rId10" o:title="doc028626_004"/>
          </v:shape>
        </w:pict>
      </w:r>
      <w:r>
        <w:pict>
          <v:shape id="_x0000_i1029" type="#_x0000_t75" style="width:467.7pt;height:604.9pt">
            <v:imagedata r:id="rId11" o:title="doc028626_005"/>
          </v:shape>
        </w:pict>
      </w:r>
      <w:r>
        <w:pict>
          <v:shape id="_x0000_i1030" type="#_x0000_t75" style="width:467.7pt;height:604.9pt">
            <v:imagedata r:id="rId12" o:title="doc028626_006"/>
          </v:shape>
        </w:pict>
      </w:r>
    </w:p>
    <w:sectPr w:rsidR="00E570CA">
      <w:headerReference w:type="even" r:id="rId13"/>
      <w:headerReference w:type="default" r:id="rId14"/>
      <w:footerReference w:type="even" r:id="rId15"/>
      <w:footerReference w:type="default" r:id="rId16"/>
      <w:headerReference w:type="first" r:id="rId17"/>
      <w:footerReference w:type="first" r:id="rId18"/>
      <w:pgSz w:w="12240" w:h="15840" w:code="1"/>
      <w:pgMar w:top="1152" w:right="1440" w:bottom="1440" w:left="1440" w:header="706" w:footer="70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0B08" w:rsidRDefault="00C90B08">
      <w:r>
        <w:separator/>
      </w:r>
    </w:p>
  </w:endnote>
  <w:endnote w:type="continuationSeparator" w:id="0">
    <w:p w:rsidR="00C90B08" w:rsidRDefault="00C90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B19" w:rsidRDefault="00666B1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B19" w:rsidRDefault="00666B1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B19" w:rsidRDefault="00666B1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0B08" w:rsidRDefault="00C90B08">
      <w:r>
        <w:separator/>
      </w:r>
    </w:p>
  </w:footnote>
  <w:footnote w:type="continuationSeparator" w:id="0">
    <w:p w:rsidR="00C90B08" w:rsidRDefault="00C90B08">
      <w:r>
        <w:continuationSeparator/>
      </w:r>
    </w:p>
  </w:footnote>
  <w:footnote w:id="1">
    <w:p w:rsidR="006C6A02" w:rsidRPr="006C6A02" w:rsidRDefault="006C6A02" w:rsidP="006C6A02">
      <w:pPr>
        <w:pStyle w:val="Notedebasdepage"/>
        <w:tabs>
          <w:tab w:val="left" w:pos="720"/>
        </w:tabs>
        <w:ind w:left="720" w:hanging="720"/>
        <w:jc w:val="both"/>
        <w:rPr>
          <w:rFonts w:cs="Arial"/>
          <w:sz w:val="20"/>
        </w:rPr>
      </w:pPr>
      <w:r>
        <w:rPr>
          <w:rStyle w:val="Appelnotedebasdep"/>
        </w:rPr>
        <w:footnoteRef/>
      </w:r>
      <w:r>
        <w:t xml:space="preserve"> </w:t>
      </w:r>
      <w:r>
        <w:rPr>
          <w:rFonts w:cs="Arial"/>
          <w:sz w:val="20"/>
        </w:rPr>
        <w:tab/>
        <w:t>RLRQ, c. C-27.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B19" w:rsidRDefault="00666B1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90" w:type="dxa"/>
      <w:tblInd w:w="-20" w:type="dxa"/>
      <w:tblLayout w:type="fixed"/>
      <w:tblCellMar>
        <w:left w:w="70" w:type="dxa"/>
        <w:right w:w="70" w:type="dxa"/>
      </w:tblCellMar>
      <w:tblLook w:val="0000" w:firstRow="0" w:lastRow="0" w:firstColumn="0" w:lastColumn="0" w:noHBand="0" w:noVBand="0"/>
    </w:tblPr>
    <w:tblGrid>
      <w:gridCol w:w="8730"/>
      <w:gridCol w:w="860"/>
    </w:tblGrid>
    <w:tr w:rsidR="00A02529" w:rsidTr="00B277F5">
      <w:tc>
        <w:tcPr>
          <w:tcW w:w="8730" w:type="dxa"/>
        </w:tcPr>
        <w:p w:rsidR="00A02529" w:rsidRDefault="00A02529">
          <w:pPr>
            <w:pStyle w:val="En-tte"/>
            <w:ind w:left="-90"/>
          </w:pPr>
        </w:p>
      </w:tc>
      <w:tc>
        <w:tcPr>
          <w:tcW w:w="860" w:type="dxa"/>
        </w:tcPr>
        <w:p w:rsidR="00A02529" w:rsidRDefault="00A02529">
          <w:pPr>
            <w:pStyle w:val="En-tte"/>
            <w:ind w:left="-90"/>
          </w:pPr>
        </w:p>
      </w:tc>
    </w:tr>
    <w:tr w:rsidR="00B277F5" w:rsidTr="00B277F5">
      <w:tc>
        <w:tcPr>
          <w:tcW w:w="8730" w:type="dxa"/>
        </w:tcPr>
        <w:p w:rsidR="00B277F5" w:rsidRDefault="00B277F5" w:rsidP="00B277F5">
          <w:pPr>
            <w:pStyle w:val="zSoquijdatNoDossier"/>
          </w:pPr>
          <w:r>
            <w:t>CM-2017-5848</w:t>
          </w:r>
        </w:p>
      </w:tc>
      <w:tc>
        <w:tcPr>
          <w:tcW w:w="860" w:type="dxa"/>
        </w:tcPr>
        <w:p w:rsidR="00B277F5" w:rsidRDefault="00B277F5" w:rsidP="00B277F5">
          <w:pPr>
            <w:pStyle w:val="En-tte"/>
            <w:ind w:left="-90"/>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sidR="00573BC3">
            <w:rPr>
              <w:rStyle w:val="Numrodepage"/>
              <w:noProof/>
            </w:rPr>
            <w:t>11</w:t>
          </w:r>
          <w:r>
            <w:rPr>
              <w:rStyle w:val="Numrodepage"/>
            </w:rPr>
            <w:fldChar w:fldCharType="end"/>
          </w:r>
        </w:p>
      </w:tc>
    </w:tr>
    <w:tr w:rsidR="00B277F5" w:rsidTr="00B277F5">
      <w:tc>
        <w:tcPr>
          <w:tcW w:w="8730" w:type="dxa"/>
        </w:tcPr>
        <w:p w:rsidR="00B277F5" w:rsidRDefault="00B277F5" w:rsidP="00B277F5"/>
      </w:tc>
      <w:tc>
        <w:tcPr>
          <w:tcW w:w="860" w:type="dxa"/>
        </w:tcPr>
        <w:p w:rsidR="00B277F5" w:rsidRDefault="00B277F5" w:rsidP="00B277F5">
          <w:pPr>
            <w:pStyle w:val="En-tte"/>
            <w:ind w:left="-90"/>
            <w:jc w:val="right"/>
          </w:pPr>
        </w:p>
      </w:tc>
    </w:tr>
  </w:tbl>
  <w:p w:rsidR="00A02529" w:rsidRDefault="00A02529">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B19" w:rsidRDefault="00666B1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F030813"/>
    <w:multiLevelType w:val="multilevel"/>
    <w:tmpl w:val="0C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737A6EAF"/>
    <w:multiLevelType w:val="multilevel"/>
    <w:tmpl w:val="0C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75917C39"/>
    <w:multiLevelType w:val="multilevel"/>
    <w:tmpl w:val="0042494C"/>
    <w:lvl w:ilvl="0">
      <w:start w:val="1"/>
      <w:numFmt w:val="decimal"/>
      <w:lvlText w:val="[%1]"/>
      <w:lvlJc w:val="left"/>
      <w:pPr>
        <w:tabs>
          <w:tab w:val="num" w:pos="720"/>
        </w:tabs>
        <w:ind w:left="720" w:hanging="72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Titre5"/>
      <w:suff w:val="nothing"/>
      <w:lvlText w:val=""/>
      <w:lvlJc w:val="left"/>
      <w:pPr>
        <w:ind w:left="0" w:firstLine="0"/>
      </w:pPr>
      <w:rPr>
        <w:rFonts w:hint="default"/>
      </w:rPr>
    </w:lvl>
    <w:lvl w:ilvl="5">
      <w:start w:val="1"/>
      <w:numFmt w:val="none"/>
      <w:pStyle w:val="Titre6"/>
      <w:suff w:val="nothing"/>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suff w:val="nothing"/>
      <w:lvlText w:val=""/>
      <w:lvlJc w:val="left"/>
      <w:pPr>
        <w:ind w:left="0" w:firstLine="0"/>
      </w:pPr>
      <w:rPr>
        <w:rFonts w:hint="default"/>
      </w:rPr>
    </w:lvl>
    <w:lvl w:ilvl="8">
      <w:start w:val="1"/>
      <w:numFmt w:val="none"/>
      <w:pStyle w:val="Titre9"/>
      <w:suff w:val="nothing"/>
      <w:lvlText w:val=""/>
      <w:lvlJc w:val="left"/>
      <w:pPr>
        <w:ind w:left="0" w:firstLine="0"/>
      </w:pPr>
      <w:rPr>
        <w:rFonts w:hint="default"/>
      </w:rPr>
    </w:lvl>
  </w:abstractNum>
  <w:abstractNum w:abstractNumId="3">
    <w:nsid w:val="76556088"/>
    <w:multiLevelType w:val="multilevel"/>
    <w:tmpl w:val="74FA30DC"/>
    <w:lvl w:ilvl="0">
      <w:start w:val="1"/>
      <w:numFmt w:val="decimal"/>
      <w:pStyle w:val="corpsdedcision"/>
      <w:lvlText w:val="[%1]"/>
      <w:lvlJc w:val="left"/>
      <w:pPr>
        <w:tabs>
          <w:tab w:val="num" w:pos="360"/>
        </w:tabs>
        <w:ind w:left="0" w:firstLine="0"/>
      </w:pPr>
    </w:lvl>
    <w:lvl w:ilvl="1">
      <w:start w:val="1"/>
      <w:numFmt w:val="decimal"/>
      <w:lvlRestart w:val="0"/>
      <w:lvlText w:val="[%1.%2]"/>
      <w:lvlJc w:val="left"/>
      <w:pPr>
        <w:tabs>
          <w:tab w:val="num" w:pos="1080"/>
        </w:tabs>
        <w:ind w:left="360" w:firstLine="0"/>
      </w:pPr>
    </w:lvl>
    <w:lvl w:ilvl="2">
      <w:start w:val="1"/>
      <w:numFmt w:val="decimal"/>
      <w:lvlRestart w:val="0"/>
      <w:lvlText w:val="[%1.%2.%3]"/>
      <w:lvlJc w:val="left"/>
      <w:pPr>
        <w:tabs>
          <w:tab w:val="num" w:pos="1440"/>
        </w:tabs>
        <w:ind w:left="720" w:firstLine="0"/>
      </w:pPr>
    </w:lvl>
    <w:lvl w:ilvl="3">
      <w:start w:val="1"/>
      <w:numFmt w:val="decimal"/>
      <w:lvlRestart w:val="0"/>
      <w:lvlText w:val="[%1.%2.%3.%4]"/>
      <w:lvlJc w:val="left"/>
      <w:pPr>
        <w:tabs>
          <w:tab w:val="num" w:pos="2160"/>
        </w:tabs>
        <w:ind w:left="1080" w:firstLine="0"/>
      </w:pPr>
    </w:lvl>
    <w:lvl w:ilvl="4">
      <w:start w:val="1"/>
      <w:numFmt w:val="decimal"/>
      <w:lvlRestart w:val="0"/>
      <w:lvlText w:val="[%1.%2.%3.%4.%5]"/>
      <w:lvlJc w:val="left"/>
      <w:pPr>
        <w:tabs>
          <w:tab w:val="num" w:pos="2520"/>
        </w:tabs>
        <w:ind w:left="2232" w:hanging="792"/>
      </w:pPr>
    </w:lvl>
    <w:lvl w:ilvl="5">
      <w:start w:val="1"/>
      <w:numFmt w:val="decimal"/>
      <w:lvlRestart w:val="0"/>
      <w:lvlText w:val="[%1.%2.%3.%4.%5.%6]"/>
      <w:lvlJc w:val="left"/>
      <w:pPr>
        <w:tabs>
          <w:tab w:val="num" w:pos="3240"/>
        </w:tabs>
        <w:ind w:left="2736" w:hanging="936"/>
      </w:pPr>
    </w:lvl>
    <w:lvl w:ilvl="6">
      <w:start w:val="1"/>
      <w:numFmt w:val="decimal"/>
      <w:lvlRestart w:val="0"/>
      <w:lvlText w:val="[%1.%2.%3.%4.%5.%6.%7]"/>
      <w:lvlJc w:val="left"/>
      <w:pPr>
        <w:tabs>
          <w:tab w:val="num" w:pos="3600"/>
        </w:tabs>
        <w:ind w:left="3240" w:hanging="1080"/>
      </w:pPr>
    </w:lvl>
    <w:lvl w:ilvl="7">
      <w:start w:val="1"/>
      <w:numFmt w:val="decimal"/>
      <w:lvlRestart w:val="0"/>
      <w:lvlText w:val="[%1.%2.%3.%4.%5.%6.%7.%8]"/>
      <w:lvlJc w:val="left"/>
      <w:pPr>
        <w:tabs>
          <w:tab w:val="num" w:pos="4320"/>
        </w:tabs>
        <w:ind w:left="3744" w:hanging="1224"/>
      </w:pPr>
    </w:lvl>
    <w:lvl w:ilvl="8">
      <w:start w:val="1"/>
      <w:numFmt w:val="decimal"/>
      <w:lvlRestart w:val="0"/>
      <w:lvlText w:val="[%1.%2.%3.%4.%5.%6.%7.%8.%9]"/>
      <w:lvlJc w:val="left"/>
      <w:pPr>
        <w:tabs>
          <w:tab w:val="num" w:pos="4680"/>
        </w:tabs>
        <w:ind w:left="4320" w:hanging="1440"/>
      </w:pPr>
    </w:lvl>
  </w:abstractNum>
  <w:abstractNum w:abstractNumId="4">
    <w:nsid w:val="7BB76507"/>
    <w:multiLevelType w:val="multilevel"/>
    <w:tmpl w:val="F20E889A"/>
    <w:lvl w:ilvl="0">
      <w:start w:val="1"/>
      <w:numFmt w:val="decimal"/>
      <w:pStyle w:val="Paragraphe"/>
      <w:lvlText w:val="[%1]"/>
      <w:lvlJc w:val="left"/>
      <w:pPr>
        <w:tabs>
          <w:tab w:val="num" w:pos="720"/>
        </w:tabs>
        <w:ind w:left="720" w:hanging="720"/>
      </w:pPr>
      <w:rPr>
        <w:rFonts w:hint="default"/>
      </w:rPr>
    </w:lvl>
    <w:lvl w:ilvl="1">
      <w:start w:val="1"/>
      <w:numFmt w:val="decimal"/>
      <w:pStyle w:val="Sous-paragraphe"/>
      <w:lvlText w:val="%1.%2."/>
      <w:lvlJc w:val="left"/>
      <w:pPr>
        <w:tabs>
          <w:tab w:val="num" w:pos="792"/>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num w:numId="1">
    <w:abstractNumId w:val="3"/>
  </w:num>
  <w:num w:numId="2">
    <w:abstractNumId w:val="2"/>
  </w:num>
  <w:num w:numId="3">
    <w:abstractNumId w:val="1"/>
  </w:num>
  <w:num w:numId="4">
    <w:abstractNumId w:val="0"/>
  </w:num>
  <w:num w:numId="5">
    <w:abstractNumId w:val="4"/>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7F5"/>
    <w:rsid w:val="000034B0"/>
    <w:rsid w:val="000041A1"/>
    <w:rsid w:val="00021B30"/>
    <w:rsid w:val="00021E4C"/>
    <w:rsid w:val="00022556"/>
    <w:rsid w:val="000366EC"/>
    <w:rsid w:val="00043E4D"/>
    <w:rsid w:val="00056393"/>
    <w:rsid w:val="0007225E"/>
    <w:rsid w:val="00076D81"/>
    <w:rsid w:val="0008378A"/>
    <w:rsid w:val="0008784D"/>
    <w:rsid w:val="00090018"/>
    <w:rsid w:val="00090306"/>
    <w:rsid w:val="00093ACD"/>
    <w:rsid w:val="00095814"/>
    <w:rsid w:val="00097D81"/>
    <w:rsid w:val="000A4AD0"/>
    <w:rsid w:val="000A77C5"/>
    <w:rsid w:val="000B6C60"/>
    <w:rsid w:val="000B7F1B"/>
    <w:rsid w:val="000D3948"/>
    <w:rsid w:val="000E0C28"/>
    <w:rsid w:val="000E1320"/>
    <w:rsid w:val="000E56A6"/>
    <w:rsid w:val="000F3423"/>
    <w:rsid w:val="001050B4"/>
    <w:rsid w:val="0012224D"/>
    <w:rsid w:val="001225BC"/>
    <w:rsid w:val="00122A9E"/>
    <w:rsid w:val="0012326A"/>
    <w:rsid w:val="001407FC"/>
    <w:rsid w:val="00147A49"/>
    <w:rsid w:val="00147B8B"/>
    <w:rsid w:val="0015125A"/>
    <w:rsid w:val="00152464"/>
    <w:rsid w:val="0015539F"/>
    <w:rsid w:val="00160597"/>
    <w:rsid w:val="001664C8"/>
    <w:rsid w:val="00167AD0"/>
    <w:rsid w:val="00173184"/>
    <w:rsid w:val="00175079"/>
    <w:rsid w:val="00183515"/>
    <w:rsid w:val="001A03BE"/>
    <w:rsid w:val="001A067E"/>
    <w:rsid w:val="001A2900"/>
    <w:rsid w:val="001A4081"/>
    <w:rsid w:val="001A65F1"/>
    <w:rsid w:val="001B2B40"/>
    <w:rsid w:val="001B3E9D"/>
    <w:rsid w:val="001B4A40"/>
    <w:rsid w:val="001C2B0B"/>
    <w:rsid w:val="001F59FC"/>
    <w:rsid w:val="00227040"/>
    <w:rsid w:val="00230CFC"/>
    <w:rsid w:val="00231C1D"/>
    <w:rsid w:val="00241CED"/>
    <w:rsid w:val="00242FB4"/>
    <w:rsid w:val="00245605"/>
    <w:rsid w:val="002563F0"/>
    <w:rsid w:val="00266064"/>
    <w:rsid w:val="00267C8D"/>
    <w:rsid w:val="002701DD"/>
    <w:rsid w:val="002769B5"/>
    <w:rsid w:val="00276B59"/>
    <w:rsid w:val="00281319"/>
    <w:rsid w:val="00286149"/>
    <w:rsid w:val="0028668D"/>
    <w:rsid w:val="00290289"/>
    <w:rsid w:val="00296645"/>
    <w:rsid w:val="00296A4B"/>
    <w:rsid w:val="00297284"/>
    <w:rsid w:val="002A0077"/>
    <w:rsid w:val="002A374B"/>
    <w:rsid w:val="002A73E9"/>
    <w:rsid w:val="002B2FC3"/>
    <w:rsid w:val="002B35F0"/>
    <w:rsid w:val="002B58AF"/>
    <w:rsid w:val="002C3748"/>
    <w:rsid w:val="002C5E89"/>
    <w:rsid w:val="002D71A9"/>
    <w:rsid w:val="002F7507"/>
    <w:rsid w:val="00302FB4"/>
    <w:rsid w:val="00305273"/>
    <w:rsid w:val="003057FC"/>
    <w:rsid w:val="00307C85"/>
    <w:rsid w:val="00312983"/>
    <w:rsid w:val="003248CB"/>
    <w:rsid w:val="00331EA7"/>
    <w:rsid w:val="003332B8"/>
    <w:rsid w:val="00344465"/>
    <w:rsid w:val="0034740A"/>
    <w:rsid w:val="0035375B"/>
    <w:rsid w:val="003664E9"/>
    <w:rsid w:val="00366D1E"/>
    <w:rsid w:val="0037330F"/>
    <w:rsid w:val="00373EE5"/>
    <w:rsid w:val="003817E7"/>
    <w:rsid w:val="00382E55"/>
    <w:rsid w:val="003961B2"/>
    <w:rsid w:val="003A41AD"/>
    <w:rsid w:val="003B152B"/>
    <w:rsid w:val="003B1734"/>
    <w:rsid w:val="003B1735"/>
    <w:rsid w:val="003B6CBF"/>
    <w:rsid w:val="003C47A7"/>
    <w:rsid w:val="003D0826"/>
    <w:rsid w:val="003D3C93"/>
    <w:rsid w:val="003E00D5"/>
    <w:rsid w:val="003E02BA"/>
    <w:rsid w:val="003F7F38"/>
    <w:rsid w:val="0040399B"/>
    <w:rsid w:val="0040628B"/>
    <w:rsid w:val="00406F0C"/>
    <w:rsid w:val="00412585"/>
    <w:rsid w:val="0041363B"/>
    <w:rsid w:val="00415D5D"/>
    <w:rsid w:val="0042650F"/>
    <w:rsid w:val="00431E0B"/>
    <w:rsid w:val="004337FE"/>
    <w:rsid w:val="00433E98"/>
    <w:rsid w:val="00435738"/>
    <w:rsid w:val="00437137"/>
    <w:rsid w:val="004403B8"/>
    <w:rsid w:val="00441ADA"/>
    <w:rsid w:val="0044371C"/>
    <w:rsid w:val="0044627E"/>
    <w:rsid w:val="0044769B"/>
    <w:rsid w:val="0045114F"/>
    <w:rsid w:val="004529D3"/>
    <w:rsid w:val="00453F31"/>
    <w:rsid w:val="00456B0C"/>
    <w:rsid w:val="0046538B"/>
    <w:rsid w:val="00471C92"/>
    <w:rsid w:val="004739AC"/>
    <w:rsid w:val="00475FEF"/>
    <w:rsid w:val="0047776F"/>
    <w:rsid w:val="004870EA"/>
    <w:rsid w:val="00487F13"/>
    <w:rsid w:val="00495A0C"/>
    <w:rsid w:val="00496193"/>
    <w:rsid w:val="004A02AF"/>
    <w:rsid w:val="004A679B"/>
    <w:rsid w:val="004C0FB4"/>
    <w:rsid w:val="004C1811"/>
    <w:rsid w:val="004C3F02"/>
    <w:rsid w:val="004C4555"/>
    <w:rsid w:val="004D6CEA"/>
    <w:rsid w:val="004E3564"/>
    <w:rsid w:val="004E51C0"/>
    <w:rsid w:val="004E64BE"/>
    <w:rsid w:val="00503B8D"/>
    <w:rsid w:val="00503EE3"/>
    <w:rsid w:val="00505811"/>
    <w:rsid w:val="00515DE7"/>
    <w:rsid w:val="00517EB0"/>
    <w:rsid w:val="005205CB"/>
    <w:rsid w:val="005352F1"/>
    <w:rsid w:val="00540094"/>
    <w:rsid w:val="00545CFF"/>
    <w:rsid w:val="00553C79"/>
    <w:rsid w:val="00555800"/>
    <w:rsid w:val="00556DBB"/>
    <w:rsid w:val="00560781"/>
    <w:rsid w:val="0056268F"/>
    <w:rsid w:val="005662E9"/>
    <w:rsid w:val="00572AAF"/>
    <w:rsid w:val="00573BC3"/>
    <w:rsid w:val="005801AE"/>
    <w:rsid w:val="00582868"/>
    <w:rsid w:val="00582ECC"/>
    <w:rsid w:val="0058399B"/>
    <w:rsid w:val="0058692F"/>
    <w:rsid w:val="00587045"/>
    <w:rsid w:val="00587C22"/>
    <w:rsid w:val="0059436D"/>
    <w:rsid w:val="005945C0"/>
    <w:rsid w:val="00597016"/>
    <w:rsid w:val="005974B7"/>
    <w:rsid w:val="005A0D51"/>
    <w:rsid w:val="005A181B"/>
    <w:rsid w:val="005A1CB3"/>
    <w:rsid w:val="005A3073"/>
    <w:rsid w:val="005A33A5"/>
    <w:rsid w:val="005A70A0"/>
    <w:rsid w:val="005B0612"/>
    <w:rsid w:val="005B13F0"/>
    <w:rsid w:val="005B30F6"/>
    <w:rsid w:val="005B45BA"/>
    <w:rsid w:val="005B5689"/>
    <w:rsid w:val="005B6774"/>
    <w:rsid w:val="005C0A89"/>
    <w:rsid w:val="005C0FEB"/>
    <w:rsid w:val="005C3BC4"/>
    <w:rsid w:val="005D59B1"/>
    <w:rsid w:val="005D764B"/>
    <w:rsid w:val="005E2367"/>
    <w:rsid w:val="005E5E90"/>
    <w:rsid w:val="005E654C"/>
    <w:rsid w:val="005F05F6"/>
    <w:rsid w:val="00605734"/>
    <w:rsid w:val="0061488E"/>
    <w:rsid w:val="0061574B"/>
    <w:rsid w:val="00620ED3"/>
    <w:rsid w:val="00622670"/>
    <w:rsid w:val="00623A1A"/>
    <w:rsid w:val="00626E8D"/>
    <w:rsid w:val="00632DA8"/>
    <w:rsid w:val="00634E6E"/>
    <w:rsid w:val="00635CA6"/>
    <w:rsid w:val="0064342A"/>
    <w:rsid w:val="00643A28"/>
    <w:rsid w:val="006452FA"/>
    <w:rsid w:val="0065093D"/>
    <w:rsid w:val="00655193"/>
    <w:rsid w:val="00655459"/>
    <w:rsid w:val="00656FB2"/>
    <w:rsid w:val="00661454"/>
    <w:rsid w:val="0066642D"/>
    <w:rsid w:val="00666B19"/>
    <w:rsid w:val="00675E85"/>
    <w:rsid w:val="0067750F"/>
    <w:rsid w:val="0068401E"/>
    <w:rsid w:val="006841A4"/>
    <w:rsid w:val="0068643F"/>
    <w:rsid w:val="006877A1"/>
    <w:rsid w:val="00692150"/>
    <w:rsid w:val="00692F0C"/>
    <w:rsid w:val="00696E7C"/>
    <w:rsid w:val="006A0C54"/>
    <w:rsid w:val="006A40A6"/>
    <w:rsid w:val="006A7C53"/>
    <w:rsid w:val="006B309C"/>
    <w:rsid w:val="006B727F"/>
    <w:rsid w:val="006C6A02"/>
    <w:rsid w:val="006C6D3A"/>
    <w:rsid w:val="006C7B36"/>
    <w:rsid w:val="006C7B7F"/>
    <w:rsid w:val="006D19E8"/>
    <w:rsid w:val="006E04B5"/>
    <w:rsid w:val="006E330C"/>
    <w:rsid w:val="006E3DD8"/>
    <w:rsid w:val="006E793F"/>
    <w:rsid w:val="006F0154"/>
    <w:rsid w:val="006F7944"/>
    <w:rsid w:val="00704121"/>
    <w:rsid w:val="00705BB5"/>
    <w:rsid w:val="0071326F"/>
    <w:rsid w:val="007153D7"/>
    <w:rsid w:val="00720ED4"/>
    <w:rsid w:val="0074488F"/>
    <w:rsid w:val="00745AA8"/>
    <w:rsid w:val="007510EC"/>
    <w:rsid w:val="0075233C"/>
    <w:rsid w:val="0075256A"/>
    <w:rsid w:val="007569DE"/>
    <w:rsid w:val="0075723C"/>
    <w:rsid w:val="007723D0"/>
    <w:rsid w:val="00782C8F"/>
    <w:rsid w:val="00785F78"/>
    <w:rsid w:val="0078659D"/>
    <w:rsid w:val="007869EC"/>
    <w:rsid w:val="007A1E58"/>
    <w:rsid w:val="007A5C7E"/>
    <w:rsid w:val="007A6E2F"/>
    <w:rsid w:val="007B3BC5"/>
    <w:rsid w:val="007D03DF"/>
    <w:rsid w:val="007D4953"/>
    <w:rsid w:val="007D50F4"/>
    <w:rsid w:val="007D7173"/>
    <w:rsid w:val="007E1216"/>
    <w:rsid w:val="007E4CD4"/>
    <w:rsid w:val="007F0E8E"/>
    <w:rsid w:val="008079DD"/>
    <w:rsid w:val="0081130F"/>
    <w:rsid w:val="00824430"/>
    <w:rsid w:val="00825B1F"/>
    <w:rsid w:val="00827D55"/>
    <w:rsid w:val="00840EDD"/>
    <w:rsid w:val="0084255F"/>
    <w:rsid w:val="00854FB3"/>
    <w:rsid w:val="00860F13"/>
    <w:rsid w:val="00861F8B"/>
    <w:rsid w:val="0086561F"/>
    <w:rsid w:val="00865FE1"/>
    <w:rsid w:val="008748C7"/>
    <w:rsid w:val="0087521A"/>
    <w:rsid w:val="008808C0"/>
    <w:rsid w:val="00890BDE"/>
    <w:rsid w:val="008962E7"/>
    <w:rsid w:val="008A1118"/>
    <w:rsid w:val="008A281F"/>
    <w:rsid w:val="008A4AF6"/>
    <w:rsid w:val="008A4FF8"/>
    <w:rsid w:val="008A5ED1"/>
    <w:rsid w:val="008A7FD1"/>
    <w:rsid w:val="008B042E"/>
    <w:rsid w:val="008B211E"/>
    <w:rsid w:val="008B6D48"/>
    <w:rsid w:val="008C7660"/>
    <w:rsid w:val="008C79A7"/>
    <w:rsid w:val="008C7C92"/>
    <w:rsid w:val="008D555F"/>
    <w:rsid w:val="008D625D"/>
    <w:rsid w:val="008D650E"/>
    <w:rsid w:val="008E6A41"/>
    <w:rsid w:val="00903990"/>
    <w:rsid w:val="00904950"/>
    <w:rsid w:val="00915E5E"/>
    <w:rsid w:val="009166B8"/>
    <w:rsid w:val="00917B4F"/>
    <w:rsid w:val="00922DB7"/>
    <w:rsid w:val="0092684A"/>
    <w:rsid w:val="00937FAB"/>
    <w:rsid w:val="0094094D"/>
    <w:rsid w:val="00942AB8"/>
    <w:rsid w:val="00945663"/>
    <w:rsid w:val="00945CAF"/>
    <w:rsid w:val="00947448"/>
    <w:rsid w:val="00952B38"/>
    <w:rsid w:val="00952C99"/>
    <w:rsid w:val="00965333"/>
    <w:rsid w:val="009712EF"/>
    <w:rsid w:val="009727BF"/>
    <w:rsid w:val="00973321"/>
    <w:rsid w:val="00975C2E"/>
    <w:rsid w:val="00977270"/>
    <w:rsid w:val="009824F2"/>
    <w:rsid w:val="00983080"/>
    <w:rsid w:val="00986AA3"/>
    <w:rsid w:val="00993098"/>
    <w:rsid w:val="00993B24"/>
    <w:rsid w:val="0099611F"/>
    <w:rsid w:val="009A083F"/>
    <w:rsid w:val="009A135C"/>
    <w:rsid w:val="009A67E7"/>
    <w:rsid w:val="009C603A"/>
    <w:rsid w:val="009C74CD"/>
    <w:rsid w:val="009D048F"/>
    <w:rsid w:val="009D401F"/>
    <w:rsid w:val="009D68FA"/>
    <w:rsid w:val="009E32CF"/>
    <w:rsid w:val="009E4FC2"/>
    <w:rsid w:val="009F44AE"/>
    <w:rsid w:val="00A02529"/>
    <w:rsid w:val="00A02EF2"/>
    <w:rsid w:val="00A04D5E"/>
    <w:rsid w:val="00A10DDF"/>
    <w:rsid w:val="00A11172"/>
    <w:rsid w:val="00A12E55"/>
    <w:rsid w:val="00A242E4"/>
    <w:rsid w:val="00A24437"/>
    <w:rsid w:val="00A24CA0"/>
    <w:rsid w:val="00A3362A"/>
    <w:rsid w:val="00A37B70"/>
    <w:rsid w:val="00A40AC7"/>
    <w:rsid w:val="00A435C7"/>
    <w:rsid w:val="00A569B2"/>
    <w:rsid w:val="00A611A4"/>
    <w:rsid w:val="00A6695B"/>
    <w:rsid w:val="00A72703"/>
    <w:rsid w:val="00A727F6"/>
    <w:rsid w:val="00A72E71"/>
    <w:rsid w:val="00A76432"/>
    <w:rsid w:val="00A84FC6"/>
    <w:rsid w:val="00A8528E"/>
    <w:rsid w:val="00A94A49"/>
    <w:rsid w:val="00AA1815"/>
    <w:rsid w:val="00AA1D3E"/>
    <w:rsid w:val="00AA39F9"/>
    <w:rsid w:val="00AB0931"/>
    <w:rsid w:val="00AB5C9B"/>
    <w:rsid w:val="00AC0276"/>
    <w:rsid w:val="00AC0312"/>
    <w:rsid w:val="00AC0449"/>
    <w:rsid w:val="00AC27C4"/>
    <w:rsid w:val="00AD2497"/>
    <w:rsid w:val="00AD5EB4"/>
    <w:rsid w:val="00AE63E2"/>
    <w:rsid w:val="00AF04C9"/>
    <w:rsid w:val="00AF26B6"/>
    <w:rsid w:val="00AF2979"/>
    <w:rsid w:val="00B0375C"/>
    <w:rsid w:val="00B052CB"/>
    <w:rsid w:val="00B156C3"/>
    <w:rsid w:val="00B15F67"/>
    <w:rsid w:val="00B1624F"/>
    <w:rsid w:val="00B224C5"/>
    <w:rsid w:val="00B277F5"/>
    <w:rsid w:val="00B325CD"/>
    <w:rsid w:val="00B329ED"/>
    <w:rsid w:val="00B4768D"/>
    <w:rsid w:val="00B518E5"/>
    <w:rsid w:val="00B51E1F"/>
    <w:rsid w:val="00B60222"/>
    <w:rsid w:val="00B62CFB"/>
    <w:rsid w:val="00B662F5"/>
    <w:rsid w:val="00B7000C"/>
    <w:rsid w:val="00B760D5"/>
    <w:rsid w:val="00B83B2C"/>
    <w:rsid w:val="00B84774"/>
    <w:rsid w:val="00B94740"/>
    <w:rsid w:val="00B97F75"/>
    <w:rsid w:val="00BA1CAE"/>
    <w:rsid w:val="00BA33BB"/>
    <w:rsid w:val="00BA4830"/>
    <w:rsid w:val="00BA6E22"/>
    <w:rsid w:val="00BB362C"/>
    <w:rsid w:val="00BC0A03"/>
    <w:rsid w:val="00BD4139"/>
    <w:rsid w:val="00BE059A"/>
    <w:rsid w:val="00BE1981"/>
    <w:rsid w:val="00BE56E9"/>
    <w:rsid w:val="00BE63CF"/>
    <w:rsid w:val="00BE7014"/>
    <w:rsid w:val="00BF25C7"/>
    <w:rsid w:val="00C005FD"/>
    <w:rsid w:val="00C009B7"/>
    <w:rsid w:val="00C04E32"/>
    <w:rsid w:val="00C13D0A"/>
    <w:rsid w:val="00C15A3F"/>
    <w:rsid w:val="00C20630"/>
    <w:rsid w:val="00C22F7A"/>
    <w:rsid w:val="00C2666F"/>
    <w:rsid w:val="00C32020"/>
    <w:rsid w:val="00C3408C"/>
    <w:rsid w:val="00C351CC"/>
    <w:rsid w:val="00C35435"/>
    <w:rsid w:val="00C432FD"/>
    <w:rsid w:val="00C43CDF"/>
    <w:rsid w:val="00C512B2"/>
    <w:rsid w:val="00C62B69"/>
    <w:rsid w:val="00C644B7"/>
    <w:rsid w:val="00C64564"/>
    <w:rsid w:val="00C73C87"/>
    <w:rsid w:val="00C74B6F"/>
    <w:rsid w:val="00C87EF3"/>
    <w:rsid w:val="00C9015F"/>
    <w:rsid w:val="00C90B08"/>
    <w:rsid w:val="00C912F9"/>
    <w:rsid w:val="00C9241B"/>
    <w:rsid w:val="00C97569"/>
    <w:rsid w:val="00CA199D"/>
    <w:rsid w:val="00CA4D9C"/>
    <w:rsid w:val="00CB05A7"/>
    <w:rsid w:val="00CB06A4"/>
    <w:rsid w:val="00CB325B"/>
    <w:rsid w:val="00CB64FF"/>
    <w:rsid w:val="00CB7078"/>
    <w:rsid w:val="00CC014B"/>
    <w:rsid w:val="00CC21D8"/>
    <w:rsid w:val="00CC3369"/>
    <w:rsid w:val="00CC5343"/>
    <w:rsid w:val="00CC78DE"/>
    <w:rsid w:val="00CD0F93"/>
    <w:rsid w:val="00CD6D6E"/>
    <w:rsid w:val="00CD6F23"/>
    <w:rsid w:val="00CF640B"/>
    <w:rsid w:val="00D027AF"/>
    <w:rsid w:val="00D06652"/>
    <w:rsid w:val="00D07FA6"/>
    <w:rsid w:val="00D17C53"/>
    <w:rsid w:val="00D17D57"/>
    <w:rsid w:val="00D2341D"/>
    <w:rsid w:val="00D25E0E"/>
    <w:rsid w:val="00D302EB"/>
    <w:rsid w:val="00D31679"/>
    <w:rsid w:val="00D320C8"/>
    <w:rsid w:val="00D3672F"/>
    <w:rsid w:val="00D40ABA"/>
    <w:rsid w:val="00D40FE2"/>
    <w:rsid w:val="00D440FA"/>
    <w:rsid w:val="00D44BCF"/>
    <w:rsid w:val="00D46E73"/>
    <w:rsid w:val="00D5548D"/>
    <w:rsid w:val="00D60F81"/>
    <w:rsid w:val="00D63951"/>
    <w:rsid w:val="00D63BF2"/>
    <w:rsid w:val="00D67348"/>
    <w:rsid w:val="00D75FEC"/>
    <w:rsid w:val="00D76B98"/>
    <w:rsid w:val="00D86F2C"/>
    <w:rsid w:val="00DA36F6"/>
    <w:rsid w:val="00DB7B7C"/>
    <w:rsid w:val="00DC1611"/>
    <w:rsid w:val="00DF0774"/>
    <w:rsid w:val="00DF1036"/>
    <w:rsid w:val="00E05451"/>
    <w:rsid w:val="00E05651"/>
    <w:rsid w:val="00E11BA5"/>
    <w:rsid w:val="00E20425"/>
    <w:rsid w:val="00E25DCB"/>
    <w:rsid w:val="00E4156E"/>
    <w:rsid w:val="00E453F2"/>
    <w:rsid w:val="00E460AD"/>
    <w:rsid w:val="00E570CA"/>
    <w:rsid w:val="00E61925"/>
    <w:rsid w:val="00E65C0E"/>
    <w:rsid w:val="00E730FC"/>
    <w:rsid w:val="00E746F0"/>
    <w:rsid w:val="00E82A15"/>
    <w:rsid w:val="00E87589"/>
    <w:rsid w:val="00E938FF"/>
    <w:rsid w:val="00EA34DC"/>
    <w:rsid w:val="00EA5017"/>
    <w:rsid w:val="00EA6BED"/>
    <w:rsid w:val="00EB14F0"/>
    <w:rsid w:val="00EB3844"/>
    <w:rsid w:val="00EB5A9F"/>
    <w:rsid w:val="00EC5C8D"/>
    <w:rsid w:val="00ED106C"/>
    <w:rsid w:val="00ED2D34"/>
    <w:rsid w:val="00ED4805"/>
    <w:rsid w:val="00ED6C51"/>
    <w:rsid w:val="00EF4258"/>
    <w:rsid w:val="00F02237"/>
    <w:rsid w:val="00F22423"/>
    <w:rsid w:val="00F24C72"/>
    <w:rsid w:val="00F31D22"/>
    <w:rsid w:val="00F348B2"/>
    <w:rsid w:val="00F34BF0"/>
    <w:rsid w:val="00F4095A"/>
    <w:rsid w:val="00F45845"/>
    <w:rsid w:val="00F50189"/>
    <w:rsid w:val="00F508FC"/>
    <w:rsid w:val="00F51B43"/>
    <w:rsid w:val="00F54044"/>
    <w:rsid w:val="00F576E7"/>
    <w:rsid w:val="00F763FC"/>
    <w:rsid w:val="00F772C1"/>
    <w:rsid w:val="00F8026D"/>
    <w:rsid w:val="00F80C18"/>
    <w:rsid w:val="00F81425"/>
    <w:rsid w:val="00F8245F"/>
    <w:rsid w:val="00F91629"/>
    <w:rsid w:val="00F91E2A"/>
    <w:rsid w:val="00FA153F"/>
    <w:rsid w:val="00FA1D78"/>
    <w:rsid w:val="00FA1F7E"/>
    <w:rsid w:val="00FA280F"/>
    <w:rsid w:val="00FB2186"/>
    <w:rsid w:val="00FC0304"/>
    <w:rsid w:val="00FC6B8B"/>
    <w:rsid w:val="00FD0133"/>
    <w:rsid w:val="00FD6206"/>
    <w:rsid w:val="00FF32C3"/>
    <w:rsid w:val="00FF6168"/>
    <w:rsid w:val="00FF689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chartTrackingRefBased/>
  <w15:docId w15:val="{B4DC895B-8B1A-4048-AC37-2234EFCEB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rPr>
  </w:style>
  <w:style w:type="paragraph" w:styleId="Titre1">
    <w:name w:val="heading 1"/>
    <w:basedOn w:val="Normal"/>
    <w:next w:val="corpsdedcision"/>
    <w:qFormat/>
    <w:rsid w:val="0034740A"/>
    <w:pPr>
      <w:keepNext/>
      <w:spacing w:before="240" w:after="240"/>
      <w:outlineLvl w:val="0"/>
    </w:pPr>
    <w:rPr>
      <w:rFonts w:cs="Arial"/>
      <w:bCs/>
      <w:caps/>
      <w:kern w:val="32"/>
      <w:szCs w:val="32"/>
      <w:u w:val="single"/>
      <w:lang w:eastAsia="fr-FR"/>
    </w:rPr>
  </w:style>
  <w:style w:type="paragraph" w:styleId="Titre2">
    <w:name w:val="heading 2"/>
    <w:basedOn w:val="Normal"/>
    <w:next w:val="corpsdedcision"/>
    <w:qFormat/>
    <w:rsid w:val="0034740A"/>
    <w:pPr>
      <w:keepNext/>
      <w:spacing w:before="240" w:after="240"/>
      <w:outlineLvl w:val="1"/>
    </w:pPr>
    <w:rPr>
      <w:rFonts w:cs="Arial"/>
      <w:bCs/>
      <w:iCs/>
      <w:caps/>
      <w:szCs w:val="28"/>
      <w:lang w:eastAsia="fr-FR"/>
    </w:rPr>
  </w:style>
  <w:style w:type="paragraph" w:styleId="Titre3">
    <w:name w:val="heading 3"/>
    <w:basedOn w:val="Normal"/>
    <w:next w:val="corpsdedcision"/>
    <w:qFormat/>
    <w:rsid w:val="0034740A"/>
    <w:pPr>
      <w:keepNext/>
      <w:spacing w:before="240" w:after="240"/>
      <w:outlineLvl w:val="2"/>
    </w:pPr>
    <w:rPr>
      <w:rFonts w:cs="Arial"/>
      <w:bCs/>
      <w:szCs w:val="26"/>
      <w:u w:val="single"/>
      <w:lang w:eastAsia="fr-FR"/>
    </w:rPr>
  </w:style>
  <w:style w:type="paragraph" w:styleId="Titre4">
    <w:name w:val="heading 4"/>
    <w:basedOn w:val="Normal"/>
    <w:next w:val="corpsdedcision"/>
    <w:qFormat/>
    <w:rsid w:val="0034740A"/>
    <w:pPr>
      <w:keepNext/>
      <w:spacing w:before="240" w:after="240"/>
      <w:outlineLvl w:val="3"/>
    </w:pPr>
    <w:rPr>
      <w:bCs/>
      <w:szCs w:val="28"/>
      <w:lang w:eastAsia="fr-FR"/>
    </w:rPr>
  </w:style>
  <w:style w:type="paragraph" w:styleId="Titre5">
    <w:name w:val="heading 5"/>
    <w:basedOn w:val="Normal"/>
    <w:next w:val="Normal"/>
    <w:qFormat/>
    <w:rsid w:val="005E2367"/>
    <w:pPr>
      <w:numPr>
        <w:ilvl w:val="4"/>
        <w:numId w:val="2"/>
      </w:numPr>
      <w:spacing w:before="240" w:after="60"/>
      <w:outlineLvl w:val="4"/>
    </w:pPr>
    <w:rPr>
      <w:b/>
      <w:bCs/>
      <w:i/>
      <w:iCs/>
      <w:sz w:val="26"/>
      <w:szCs w:val="26"/>
    </w:rPr>
  </w:style>
  <w:style w:type="paragraph" w:styleId="Titre6">
    <w:name w:val="heading 6"/>
    <w:basedOn w:val="Normal"/>
    <w:next w:val="Normal"/>
    <w:qFormat/>
    <w:rsid w:val="005E2367"/>
    <w:pPr>
      <w:numPr>
        <w:ilvl w:val="5"/>
        <w:numId w:val="2"/>
      </w:numPr>
      <w:spacing w:before="240" w:after="60"/>
      <w:outlineLvl w:val="5"/>
    </w:pPr>
    <w:rPr>
      <w:rFonts w:ascii="Times New Roman" w:hAnsi="Times New Roman"/>
      <w:b/>
      <w:bCs/>
      <w:sz w:val="22"/>
      <w:szCs w:val="22"/>
    </w:rPr>
  </w:style>
  <w:style w:type="paragraph" w:styleId="Titre7">
    <w:name w:val="heading 7"/>
    <w:basedOn w:val="Normal"/>
    <w:next w:val="Normal"/>
    <w:qFormat/>
    <w:rsid w:val="005E2367"/>
    <w:pPr>
      <w:numPr>
        <w:ilvl w:val="6"/>
        <w:numId w:val="2"/>
      </w:numPr>
      <w:spacing w:before="240" w:after="60"/>
      <w:outlineLvl w:val="6"/>
    </w:pPr>
    <w:rPr>
      <w:rFonts w:ascii="Times New Roman" w:hAnsi="Times New Roman"/>
      <w:szCs w:val="24"/>
    </w:rPr>
  </w:style>
  <w:style w:type="paragraph" w:styleId="Titre8">
    <w:name w:val="heading 8"/>
    <w:basedOn w:val="Normal"/>
    <w:next w:val="Normal"/>
    <w:qFormat/>
    <w:rsid w:val="005E2367"/>
    <w:pPr>
      <w:numPr>
        <w:ilvl w:val="7"/>
        <w:numId w:val="2"/>
      </w:numPr>
      <w:spacing w:before="240" w:after="60"/>
      <w:outlineLvl w:val="7"/>
    </w:pPr>
    <w:rPr>
      <w:rFonts w:ascii="Times New Roman" w:hAnsi="Times New Roman"/>
      <w:i/>
      <w:iCs/>
      <w:szCs w:val="24"/>
    </w:rPr>
  </w:style>
  <w:style w:type="paragraph" w:styleId="Titre9">
    <w:name w:val="heading 9"/>
    <w:basedOn w:val="Normal"/>
    <w:next w:val="Normal"/>
    <w:qFormat/>
    <w:rsid w:val="005E2367"/>
    <w:pPr>
      <w:numPr>
        <w:ilvl w:val="8"/>
        <w:numId w:val="2"/>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zSoquijdatAssesseurs">
    <w:name w:val="zSoquij_datAssesseurs"/>
    <w:basedOn w:val="Normal"/>
  </w:style>
  <w:style w:type="paragraph" w:customStyle="1" w:styleId="zSoquijdatCabinetProcureurDef">
    <w:name w:val="zSoquij_datCabinetProcureurDef"/>
    <w:basedOn w:val="Normal"/>
  </w:style>
  <w:style w:type="paragraph" w:customStyle="1" w:styleId="zSoquijdatCabinetProcureurDem">
    <w:name w:val="zSoquij_datCabinetProcureurDem"/>
    <w:basedOn w:val="Normal"/>
  </w:style>
  <w:style w:type="paragraph" w:customStyle="1" w:styleId="zSoquijdatDateJugement">
    <w:name w:val="zSoquij_datDateJugement"/>
    <w:basedOn w:val="Normal"/>
    <w:rsid w:val="005B5689"/>
  </w:style>
  <w:style w:type="paragraph" w:customStyle="1" w:styleId="zSoquijdatGreffe">
    <w:name w:val="zSoquij_datGreffe"/>
    <w:basedOn w:val="Normal"/>
  </w:style>
  <w:style w:type="paragraph" w:customStyle="1" w:styleId="zSoquijdatJuge">
    <w:name w:val="zSoquij_datJuge"/>
    <w:basedOn w:val="Normal"/>
    <w:rsid w:val="005B5689"/>
    <w:rPr>
      <w:b/>
    </w:rPr>
  </w:style>
  <w:style w:type="paragraph" w:customStyle="1" w:styleId="zSoquijdatMembreE">
    <w:name w:val="zSoquij_datMembreE"/>
    <w:basedOn w:val="Normal"/>
  </w:style>
  <w:style w:type="paragraph" w:customStyle="1" w:styleId="zSoquijdatMembreS">
    <w:name w:val="zSoquij_datMembreS"/>
    <w:basedOn w:val="Normal"/>
  </w:style>
  <w:style w:type="paragraph" w:customStyle="1" w:styleId="articlesdelaLSST">
    <w:name w:val="articles de la LSST"/>
    <w:basedOn w:val="Normal"/>
    <w:pPr>
      <w:ind w:left="720" w:right="720"/>
      <w:jc w:val="both"/>
    </w:pPr>
    <w:rPr>
      <w:sz w:val="20"/>
    </w:rPr>
  </w:style>
  <w:style w:type="paragraph" w:customStyle="1" w:styleId="zSoquijdatNCSST">
    <w:name w:val="zSoquij_datNCSST"/>
    <w:basedOn w:val="Normal"/>
  </w:style>
  <w:style w:type="paragraph" w:customStyle="1" w:styleId="zSoquijdatNoDossier">
    <w:name w:val="zSoquij_datNoDossier"/>
    <w:basedOn w:val="Normal"/>
  </w:style>
  <w:style w:type="paragraph" w:customStyle="1" w:styleId="zSoquijdatNomPartieDef">
    <w:name w:val="zSoquij_datNomPartieDef"/>
    <w:basedOn w:val="Normal"/>
  </w:style>
  <w:style w:type="paragraph" w:customStyle="1" w:styleId="zSoquijdatNomPartieDem">
    <w:name w:val="zSoquij_datNomPartieDem"/>
    <w:basedOn w:val="Normal"/>
  </w:style>
  <w:style w:type="paragraph" w:customStyle="1" w:styleId="zSoquijdatNomPartieInt">
    <w:name w:val="zSoquij_datNomPartieInt"/>
    <w:basedOn w:val="Normal"/>
  </w:style>
  <w:style w:type="paragraph" w:customStyle="1" w:styleId="zSoquijdatNomProcureurDef">
    <w:name w:val="zSoquij_datNomProcureurDef"/>
    <w:basedOn w:val="Normal"/>
  </w:style>
  <w:style w:type="paragraph" w:customStyle="1" w:styleId="zSoquijdatNomProcureurDem">
    <w:name w:val="zSoquij_datNomProcureurDem"/>
    <w:basedOn w:val="Normal"/>
  </w:style>
  <w:style w:type="paragraph" w:customStyle="1" w:styleId="zSoquijdatQtePartieDef">
    <w:name w:val="zSoquij_datQtePartieDef"/>
    <w:basedOn w:val="Normal"/>
  </w:style>
  <w:style w:type="paragraph" w:customStyle="1" w:styleId="zSoquijdatQtePartieDem">
    <w:name w:val="zSoquij_datQtePartieDem"/>
    <w:basedOn w:val="Normal"/>
  </w:style>
  <w:style w:type="paragraph" w:customStyle="1" w:styleId="zSoquijdatQtePartieInt">
    <w:name w:val="zSoquij_datQtePartieInt"/>
    <w:basedOn w:val="Normal"/>
  </w:style>
  <w:style w:type="paragraph" w:customStyle="1" w:styleId="zSoquijlblProcureurDef">
    <w:name w:val="zSoquij_lblProcureurDef"/>
    <w:basedOn w:val="Normal"/>
  </w:style>
  <w:style w:type="paragraph" w:customStyle="1" w:styleId="zSoquijlblProcureurDem">
    <w:name w:val="zSoquij_lblProcureurDem"/>
    <w:basedOn w:val="Normal"/>
  </w:style>
  <w:style w:type="character" w:styleId="Appelnotedebasdep">
    <w:name w:val="footnote reference"/>
    <w:basedOn w:val="Policepardfaut"/>
    <w:semiHidden/>
    <w:rPr>
      <w:rFonts w:ascii="Arial" w:hAnsi="Arial"/>
      <w:vertAlign w:val="superscript"/>
    </w:rPr>
  </w:style>
  <w:style w:type="paragraph" w:customStyle="1" w:styleId="citation">
    <w:name w:val="citation"/>
    <w:basedOn w:val="Normal"/>
    <w:pPr>
      <w:ind w:left="720" w:right="720"/>
      <w:jc w:val="both"/>
    </w:pPr>
    <w:rPr>
      <w:sz w:val="20"/>
    </w:rPr>
  </w:style>
  <w:style w:type="paragraph" w:customStyle="1" w:styleId="corpsdedcision">
    <w:name w:val="corps de décision"/>
    <w:basedOn w:val="Normal"/>
    <w:pPr>
      <w:numPr>
        <w:numId w:val="1"/>
      </w:numPr>
      <w:tabs>
        <w:tab w:val="clear" w:pos="360"/>
        <w:tab w:val="left" w:pos="720"/>
      </w:tabs>
      <w:spacing w:after="360"/>
      <w:jc w:val="both"/>
    </w:pPr>
  </w:style>
  <w:style w:type="paragraph" w:customStyle="1" w:styleId="Dfinitions">
    <w:name w:val="Définitions"/>
    <w:basedOn w:val="citation"/>
  </w:style>
  <w:style w:type="paragraph" w:customStyle="1" w:styleId="Dispositif">
    <w:name w:val="Dispositif"/>
    <w:basedOn w:val="Normal"/>
    <w:pPr>
      <w:spacing w:after="360"/>
      <w:jc w:val="both"/>
    </w:pPr>
  </w:style>
  <w:style w:type="paragraph" w:styleId="Notedebasdepage">
    <w:name w:val="footnote text"/>
    <w:basedOn w:val="Normal"/>
    <w:link w:val="NotedebasdepageCar"/>
    <w:semiHidden/>
  </w:style>
  <w:style w:type="paragraph" w:styleId="En-tte">
    <w:name w:val="header"/>
    <w:basedOn w:val="Normal"/>
    <w:pPr>
      <w:tabs>
        <w:tab w:val="center" w:pos="4320"/>
        <w:tab w:val="right" w:pos="8640"/>
      </w:tabs>
    </w:pPr>
  </w:style>
  <w:style w:type="character" w:styleId="Numrodepage">
    <w:name w:val="page number"/>
    <w:basedOn w:val="Policepardfaut"/>
    <w:rPr>
      <w:rFonts w:ascii="Arial" w:hAnsi="Arial"/>
      <w:sz w:val="24"/>
    </w:rPr>
  </w:style>
  <w:style w:type="paragraph" w:styleId="Pieddepage">
    <w:name w:val="footer"/>
    <w:basedOn w:val="Normal"/>
    <w:pPr>
      <w:tabs>
        <w:tab w:val="center" w:pos="4320"/>
        <w:tab w:val="right" w:pos="8640"/>
      </w:tabs>
    </w:pPr>
  </w:style>
  <w:style w:type="paragraph" w:customStyle="1" w:styleId="zSoquijlblProcureurInt">
    <w:name w:val="zSoquij_lblProcureurInt"/>
    <w:basedOn w:val="Normal"/>
  </w:style>
  <w:style w:type="paragraph" w:customStyle="1" w:styleId="articlesdelaLATMP">
    <w:name w:val="articles de la LATMP"/>
    <w:basedOn w:val="Normal"/>
    <w:pPr>
      <w:ind w:left="720" w:right="720"/>
      <w:jc w:val="both"/>
    </w:pPr>
    <w:rPr>
      <w:sz w:val="20"/>
    </w:rPr>
  </w:style>
  <w:style w:type="paragraph" w:customStyle="1" w:styleId="Annexes">
    <w:name w:val="Annexes"/>
    <w:basedOn w:val="citation"/>
  </w:style>
  <w:style w:type="paragraph" w:customStyle="1" w:styleId="zSoquijdatNomProcureurInt">
    <w:name w:val="zSoquij_datNomProcureurInt"/>
    <w:basedOn w:val="Normal"/>
  </w:style>
  <w:style w:type="paragraph" w:customStyle="1" w:styleId="zSoquijdatCabinetProcureurInt">
    <w:name w:val="zSoquij_datCabinetProcureurInt"/>
    <w:basedOn w:val="Normal"/>
  </w:style>
  <w:style w:type="paragraph" w:customStyle="1" w:styleId="zSoquijdatRefNeutre">
    <w:name w:val="zSoquij_datRefNeutre"/>
    <w:basedOn w:val="Normal"/>
    <w:rsid w:val="00E20425"/>
    <w:pPr>
      <w:jc w:val="right"/>
    </w:pPr>
    <w:rPr>
      <w:b/>
      <w:sz w:val="22"/>
      <w:szCs w:val="22"/>
    </w:rPr>
  </w:style>
  <w:style w:type="paragraph" w:customStyle="1" w:styleId="zSoquijdatRepertorie">
    <w:name w:val="zSoquij_datRepertorie"/>
    <w:basedOn w:val="Normal"/>
    <w:rsid w:val="00E20425"/>
    <w:rPr>
      <w:b/>
      <w:sz w:val="22"/>
      <w:szCs w:val="22"/>
    </w:rPr>
  </w:style>
  <w:style w:type="paragraph" w:customStyle="1" w:styleId="corpsdetexte">
    <w:name w:val="corps de texte"/>
    <w:basedOn w:val="Normal"/>
    <w:rsid w:val="00ED2D34"/>
    <w:pPr>
      <w:tabs>
        <w:tab w:val="left" w:pos="720"/>
      </w:tabs>
      <w:spacing w:after="360"/>
      <w:jc w:val="both"/>
    </w:pPr>
  </w:style>
  <w:style w:type="paragraph" w:customStyle="1" w:styleId="articlesdelaLATMPnouveaux">
    <w:name w:val="articles de la LATMP (nouveaux)"/>
    <w:basedOn w:val="Normal"/>
    <w:rsid w:val="00D44BCF"/>
    <w:pPr>
      <w:ind w:left="720" w:right="720"/>
      <w:jc w:val="both"/>
    </w:pPr>
    <w:rPr>
      <w:sz w:val="20"/>
    </w:rPr>
  </w:style>
  <w:style w:type="character" w:customStyle="1" w:styleId="NotedebasdepageCar">
    <w:name w:val="Note de bas de page Car"/>
    <w:basedOn w:val="Policepardfaut"/>
    <w:link w:val="Notedebasdepage"/>
    <w:semiHidden/>
    <w:locked/>
    <w:rsid w:val="00BC0A03"/>
    <w:rPr>
      <w:rFonts w:ascii="Arial" w:hAnsi="Arial"/>
      <w:sz w:val="24"/>
      <w:lang w:val="fr-CA" w:eastAsia="fr-CA" w:bidi="ar-SA"/>
    </w:rPr>
  </w:style>
  <w:style w:type="paragraph" w:customStyle="1" w:styleId="Citationenretrait">
    <w:name w:val="Citation en retrait"/>
    <w:basedOn w:val="Normal"/>
    <w:rsid w:val="006A7C53"/>
    <w:pPr>
      <w:spacing w:before="120" w:after="120"/>
      <w:ind w:left="720" w:right="720"/>
      <w:jc w:val="both"/>
    </w:pPr>
    <w:rPr>
      <w:kern w:val="24"/>
      <w:sz w:val="22"/>
      <w:lang w:eastAsia="fr-FR"/>
    </w:rPr>
  </w:style>
  <w:style w:type="paragraph" w:customStyle="1" w:styleId="Citationendoubleretrait">
    <w:name w:val="Citation en double retrait"/>
    <w:basedOn w:val="Citationenretrait"/>
    <w:rsid w:val="00147A49"/>
    <w:pPr>
      <w:spacing w:before="0" w:after="0"/>
      <w:ind w:left="1440" w:right="1440"/>
    </w:pPr>
    <w:rPr>
      <w:sz w:val="20"/>
    </w:rPr>
  </w:style>
  <w:style w:type="character" w:customStyle="1" w:styleId="Citationintgre">
    <w:name w:val="Citation intégrée"/>
    <w:basedOn w:val="Policepardfaut"/>
    <w:rsid w:val="006A7C53"/>
    <w:rPr>
      <w:rFonts w:ascii="Arial" w:hAnsi="Arial"/>
      <w:i/>
      <w:noProof w:val="0"/>
      <w:sz w:val="22"/>
      <w:lang w:val="fr-CA"/>
    </w:rPr>
  </w:style>
  <w:style w:type="paragraph" w:customStyle="1" w:styleId="Paragraphe">
    <w:name w:val="Paragraphe"/>
    <w:basedOn w:val="Normal"/>
    <w:rsid w:val="006A7C53"/>
    <w:pPr>
      <w:numPr>
        <w:numId w:val="6"/>
      </w:numPr>
      <w:spacing w:before="160" w:after="160"/>
      <w:jc w:val="both"/>
    </w:pPr>
    <w:rPr>
      <w:kern w:val="28"/>
      <w:lang w:eastAsia="fr-FR"/>
    </w:rPr>
  </w:style>
  <w:style w:type="paragraph" w:customStyle="1" w:styleId="ParagAlaMarge">
    <w:name w:val="ParagAlaMarge"/>
    <w:basedOn w:val="Paragraphe"/>
    <w:rsid w:val="006A7C53"/>
    <w:pPr>
      <w:numPr>
        <w:numId w:val="0"/>
      </w:numPr>
    </w:pPr>
  </w:style>
  <w:style w:type="paragraph" w:customStyle="1" w:styleId="ParagNonNum">
    <w:name w:val="ParagNonNum"/>
    <w:basedOn w:val="Paragraphe"/>
    <w:rsid w:val="006A7C53"/>
    <w:pPr>
      <w:numPr>
        <w:numId w:val="0"/>
      </w:numPr>
      <w:ind w:firstLine="720"/>
    </w:pPr>
  </w:style>
  <w:style w:type="paragraph" w:customStyle="1" w:styleId="Sous-paragraphe">
    <w:name w:val="Sous-paragraphe"/>
    <w:basedOn w:val="Normal"/>
    <w:rsid w:val="000E0C28"/>
    <w:pPr>
      <w:numPr>
        <w:ilvl w:val="1"/>
        <w:numId w:val="6"/>
      </w:numPr>
      <w:spacing w:before="120" w:after="120"/>
      <w:ind w:left="1440" w:hanging="720"/>
    </w:pPr>
    <w:rPr>
      <w:szCs w:val="24"/>
      <w:lang w:eastAsia="fr-FR"/>
    </w:rPr>
  </w:style>
  <w:style w:type="paragraph" w:customStyle="1" w:styleId="zSoquijdatDivision">
    <w:name w:val="zSoquij_datDivision"/>
    <w:basedOn w:val="Normal"/>
    <w:rsid w:val="00F772C1"/>
    <w:pPr>
      <w:jc w:val="center"/>
    </w:pPr>
    <w:rPr>
      <w:b/>
      <w:bCs/>
      <w:sz w:val="22"/>
      <w:szCs w:val="22"/>
    </w:rPr>
  </w:style>
  <w:style w:type="paragraph" w:customStyle="1" w:styleId="zSoquijlblLienParties">
    <w:name w:val="zSoquij_lblLienParties"/>
    <w:basedOn w:val="Normal"/>
    <w:rsid w:val="00D06652"/>
  </w:style>
  <w:style w:type="paragraph" w:customStyle="1" w:styleId="zSoquijdatDateAudience">
    <w:name w:val="zSoquij_datDateAudience"/>
    <w:basedOn w:val="Normal"/>
    <w:rsid w:val="000E56A6"/>
  </w:style>
  <w:style w:type="paragraph" w:styleId="Textedebulles">
    <w:name w:val="Balloon Text"/>
    <w:basedOn w:val="Normal"/>
    <w:link w:val="TextedebullesCar"/>
    <w:rsid w:val="00917B4F"/>
    <w:rPr>
      <w:rFonts w:ascii="Segoe UI" w:hAnsi="Segoe UI" w:cs="Segoe UI"/>
      <w:sz w:val="18"/>
      <w:szCs w:val="18"/>
    </w:rPr>
  </w:style>
  <w:style w:type="character" w:customStyle="1" w:styleId="TextedebullesCar">
    <w:name w:val="Texte de bulles Car"/>
    <w:basedOn w:val="Policepardfaut"/>
    <w:link w:val="Textedebulles"/>
    <w:rsid w:val="00917B4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TAT\decision.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decision</Template>
  <TotalTime>1</TotalTime>
  <Pages>11</Pages>
  <Words>1322</Words>
  <Characters>7319</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Modèle de décision CLP - juillet 2015</vt:lpstr>
    </vt:vector>
  </TitlesOfParts>
  <Company>CLP</Company>
  <LinksUpToDate>false</LinksUpToDate>
  <CharactersWithSpaces>8624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de décision CLP - juillet 2015</dc:title>
  <dc:subject/>
  <dc:creator>charlie trudel</dc:creator>
  <cp:keywords/>
  <dc:description/>
  <cp:lastModifiedBy>charlie trudel</cp:lastModifiedBy>
  <cp:revision>2</cp:revision>
  <cp:lastPrinted>2017-11-20T18:54:00Z</cp:lastPrinted>
  <dcterms:created xsi:type="dcterms:W3CDTF">2017-11-20T20:25:00Z</dcterms:created>
  <dcterms:modified xsi:type="dcterms:W3CDTF">2017-11-20T20:25:00Z</dcterms:modified>
</cp:coreProperties>
</file>