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14:paraId="4CD70EF0" w14:textId="77777777">
        <w:trPr>
          <w:cantSplit/>
        </w:trPr>
        <w:tc>
          <w:tcPr>
            <w:tcW w:w="4795" w:type="dxa"/>
          </w:tcPr>
          <w:p w14:paraId="1435134E" w14:textId="77777777" w:rsidR="008A7FD1" w:rsidRPr="008A7FD1" w:rsidRDefault="008A7FD1" w:rsidP="00EA456C">
            <w:pPr>
              <w:pStyle w:val="Titre3"/>
            </w:pPr>
          </w:p>
        </w:tc>
        <w:tc>
          <w:tcPr>
            <w:tcW w:w="2477" w:type="dxa"/>
          </w:tcPr>
          <w:p w14:paraId="53325440" w14:textId="77777777" w:rsidR="008A7FD1" w:rsidRPr="008A7FD1" w:rsidRDefault="008A7FD1" w:rsidP="008962E7">
            <w:pPr>
              <w:pStyle w:val="zSoquijdatRefNeutre"/>
            </w:pPr>
          </w:p>
        </w:tc>
      </w:tr>
    </w:tbl>
    <w:p w14:paraId="7164F868" w14:textId="77777777" w:rsidR="008A7FD1" w:rsidRDefault="008A7FD1"/>
    <w:tbl>
      <w:tblPr>
        <w:tblW w:w="9568" w:type="dxa"/>
        <w:tblLayout w:type="fixed"/>
        <w:tblCellMar>
          <w:left w:w="70" w:type="dxa"/>
          <w:right w:w="70" w:type="dxa"/>
        </w:tblCellMar>
        <w:tblLook w:val="0000" w:firstRow="0" w:lastRow="0" w:firstColumn="0" w:lastColumn="0" w:noHBand="0" w:noVBand="0"/>
      </w:tblPr>
      <w:tblGrid>
        <w:gridCol w:w="3331"/>
        <w:gridCol w:w="1559"/>
        <w:gridCol w:w="993"/>
        <w:gridCol w:w="3685"/>
      </w:tblGrid>
      <w:tr w:rsidR="00C74B6F" w14:paraId="4DA71327" w14:textId="77777777" w:rsidTr="00036794">
        <w:trPr>
          <w:cantSplit/>
        </w:trPr>
        <w:tc>
          <w:tcPr>
            <w:tcW w:w="9568" w:type="dxa"/>
            <w:gridSpan w:val="4"/>
          </w:tcPr>
          <w:p w14:paraId="499AAB36" w14:textId="77777777" w:rsidR="00C74B6F" w:rsidRPr="00BE1981" w:rsidRDefault="00C74B6F">
            <w:pPr>
              <w:rPr>
                <w:szCs w:val="24"/>
              </w:rPr>
            </w:pPr>
          </w:p>
        </w:tc>
      </w:tr>
      <w:tr w:rsidR="00C74B6F" w14:paraId="3758BDCD" w14:textId="77777777" w:rsidTr="00036794">
        <w:trPr>
          <w:cantSplit/>
        </w:trPr>
        <w:tc>
          <w:tcPr>
            <w:tcW w:w="9568" w:type="dxa"/>
            <w:gridSpan w:val="4"/>
            <w:vAlign w:val="center"/>
          </w:tcPr>
          <w:p w14:paraId="1D96A586" w14:textId="77777777" w:rsidR="00C74B6F" w:rsidRPr="000E1320" w:rsidRDefault="000E1320">
            <w:pPr>
              <w:jc w:val="center"/>
              <w:rPr>
                <w:sz w:val="36"/>
                <w:szCs w:val="36"/>
              </w:rPr>
            </w:pPr>
            <w:r w:rsidRPr="000E1320">
              <w:rPr>
                <w:b/>
                <w:sz w:val="36"/>
                <w:szCs w:val="36"/>
              </w:rPr>
              <w:t>TRIBUNAL ADMINISTRATIF DU TRAVAIL</w:t>
            </w:r>
          </w:p>
        </w:tc>
      </w:tr>
      <w:tr w:rsidR="00C74B6F" w14:paraId="6D161A80" w14:textId="77777777" w:rsidTr="00036794">
        <w:trPr>
          <w:cantSplit/>
        </w:trPr>
        <w:tc>
          <w:tcPr>
            <w:tcW w:w="9568" w:type="dxa"/>
            <w:gridSpan w:val="4"/>
          </w:tcPr>
          <w:p w14:paraId="62763D2F" w14:textId="77777777" w:rsidR="00C74B6F" w:rsidRPr="00BE7014" w:rsidRDefault="006F0154" w:rsidP="009A67E7">
            <w:pPr>
              <w:pStyle w:val="zSoquijdatDivision"/>
            </w:pPr>
            <w:r w:rsidRPr="00BE7014">
              <w:t>(</w:t>
            </w:r>
            <w:r w:rsidR="003A7263" w:rsidRPr="00441ADA">
              <w:t>Division des services essentiels</w:t>
            </w:r>
            <w:r w:rsidRPr="00BE7014">
              <w:t>)</w:t>
            </w:r>
          </w:p>
        </w:tc>
      </w:tr>
      <w:tr w:rsidR="00C74B6F" w14:paraId="1636B962" w14:textId="77777777" w:rsidTr="00036794">
        <w:trPr>
          <w:cantSplit/>
        </w:trPr>
        <w:tc>
          <w:tcPr>
            <w:tcW w:w="9568" w:type="dxa"/>
            <w:gridSpan w:val="4"/>
          </w:tcPr>
          <w:p w14:paraId="040385F5" w14:textId="77777777" w:rsidR="002B2FC3" w:rsidRDefault="002B2FC3" w:rsidP="002B2FC3"/>
        </w:tc>
      </w:tr>
      <w:tr w:rsidR="00A84FC6" w14:paraId="6748FA82" w14:textId="77777777" w:rsidTr="00036794">
        <w:trPr>
          <w:cantSplit/>
        </w:trPr>
        <w:tc>
          <w:tcPr>
            <w:tcW w:w="9568" w:type="dxa"/>
            <w:gridSpan w:val="4"/>
          </w:tcPr>
          <w:p w14:paraId="4C72B2FA" w14:textId="77777777" w:rsidR="00A84FC6" w:rsidRDefault="00A84FC6" w:rsidP="002B2FC3"/>
        </w:tc>
      </w:tr>
      <w:tr w:rsidR="00C74B6F" w14:paraId="5D208892" w14:textId="77777777" w:rsidTr="00036794">
        <w:tc>
          <w:tcPr>
            <w:tcW w:w="3331" w:type="dxa"/>
          </w:tcPr>
          <w:p w14:paraId="75BF3752" w14:textId="77777777" w:rsidR="00C74B6F" w:rsidRDefault="0084255F">
            <w:bookmarkStart w:id="0" w:name="region" w:colFirst="1" w:colLast="1"/>
            <w:r>
              <w:t>Région :</w:t>
            </w:r>
          </w:p>
        </w:tc>
        <w:tc>
          <w:tcPr>
            <w:tcW w:w="6237" w:type="dxa"/>
            <w:gridSpan w:val="3"/>
          </w:tcPr>
          <w:p w14:paraId="43BA4CC9" w14:textId="77777777" w:rsidR="00C74B6F" w:rsidRDefault="003A7263" w:rsidP="00F4095A">
            <w:pPr>
              <w:pStyle w:val="zSoquijdatGreffe"/>
            </w:pPr>
            <w:r>
              <w:t>Montréal</w:t>
            </w:r>
          </w:p>
        </w:tc>
      </w:tr>
      <w:bookmarkEnd w:id="0"/>
      <w:tr w:rsidR="00C74B6F" w14:paraId="3958038A" w14:textId="77777777" w:rsidTr="00036794">
        <w:trPr>
          <w:cantSplit/>
        </w:trPr>
        <w:tc>
          <w:tcPr>
            <w:tcW w:w="9568" w:type="dxa"/>
            <w:gridSpan w:val="4"/>
          </w:tcPr>
          <w:p w14:paraId="442422CE" w14:textId="77777777" w:rsidR="00C74B6F" w:rsidRDefault="00C74B6F"/>
        </w:tc>
      </w:tr>
      <w:tr w:rsidR="00C74B6F" w14:paraId="29DC7806" w14:textId="77777777" w:rsidTr="00036794">
        <w:tc>
          <w:tcPr>
            <w:tcW w:w="3331" w:type="dxa"/>
          </w:tcPr>
          <w:p w14:paraId="008CA2A6" w14:textId="68149BB2" w:rsidR="00C74B6F" w:rsidRDefault="0084255F" w:rsidP="00D128AF">
            <w:bookmarkStart w:id="1" w:name="ref_dossier" w:colFirst="1" w:colLast="1"/>
            <w:r>
              <w:t>Dossier</w:t>
            </w:r>
            <w:bookmarkStart w:id="2" w:name="dossiers"/>
            <w:bookmarkEnd w:id="2"/>
            <w:r>
              <w:t> :</w:t>
            </w:r>
          </w:p>
        </w:tc>
        <w:tc>
          <w:tcPr>
            <w:tcW w:w="6237" w:type="dxa"/>
            <w:gridSpan w:val="3"/>
          </w:tcPr>
          <w:p w14:paraId="2E4861CB" w14:textId="77777777" w:rsidR="00C74B6F" w:rsidRDefault="003A7263" w:rsidP="00F4095A">
            <w:pPr>
              <w:pStyle w:val="zSoquijdatNoDossier"/>
            </w:pPr>
            <w:r>
              <w:t>1280281-71-</w:t>
            </w:r>
            <w:r w:rsidRPr="003A7263">
              <w:t>2206</w:t>
            </w:r>
          </w:p>
        </w:tc>
      </w:tr>
      <w:bookmarkEnd w:id="1"/>
      <w:tr w:rsidR="00C74B6F" w14:paraId="213ABC37" w14:textId="77777777" w:rsidTr="00036794">
        <w:trPr>
          <w:cantSplit/>
        </w:trPr>
        <w:tc>
          <w:tcPr>
            <w:tcW w:w="9568" w:type="dxa"/>
            <w:gridSpan w:val="4"/>
          </w:tcPr>
          <w:p w14:paraId="09F543E7" w14:textId="77777777" w:rsidR="00C74B6F" w:rsidRDefault="00D44BCF">
            <w:r>
              <w:fldChar w:fldCharType="begin"/>
            </w:r>
            <w:r>
              <w:instrText xml:space="preserve"> AUTOTEXTLIST  \* Upper  \* MERGEFORMAT </w:instrText>
            </w:r>
            <w:r>
              <w:fldChar w:fldCharType="end"/>
            </w:r>
          </w:p>
        </w:tc>
      </w:tr>
      <w:tr w:rsidR="00C74B6F" w14:paraId="7F794B2A" w14:textId="77777777" w:rsidTr="00036794">
        <w:tc>
          <w:tcPr>
            <w:tcW w:w="3331" w:type="dxa"/>
          </w:tcPr>
          <w:p w14:paraId="65534A28" w14:textId="77777777" w:rsidR="00C74B6F" w:rsidRDefault="008C79A7" w:rsidP="003A7263">
            <w:pPr>
              <w:ind w:right="46"/>
            </w:pPr>
            <w:r>
              <w:t xml:space="preserve">Dossier </w:t>
            </w:r>
            <w:r w:rsidR="003A7263" w:rsidRPr="003A7263">
              <w:rPr>
                <w:szCs w:val="24"/>
              </w:rPr>
              <w:t>accréditation</w:t>
            </w:r>
            <w:r w:rsidRPr="008C79A7">
              <w:rPr>
                <w:szCs w:val="24"/>
              </w:rPr>
              <w:t xml:space="preserve"> :</w:t>
            </w:r>
          </w:p>
        </w:tc>
        <w:tc>
          <w:tcPr>
            <w:tcW w:w="6237" w:type="dxa"/>
            <w:gridSpan w:val="3"/>
          </w:tcPr>
          <w:p w14:paraId="4750BD41" w14:textId="77777777" w:rsidR="00C74B6F" w:rsidRDefault="003A7263" w:rsidP="004D6CEA">
            <w:pPr>
              <w:pStyle w:val="zSoquijdatNCSST"/>
            </w:pPr>
            <w:r w:rsidRPr="003A7263">
              <w:t>AM-2000-5245</w:t>
            </w:r>
          </w:p>
        </w:tc>
      </w:tr>
      <w:tr w:rsidR="00C74B6F" w14:paraId="647EF264" w14:textId="77777777" w:rsidTr="00036794">
        <w:trPr>
          <w:cantSplit/>
        </w:trPr>
        <w:tc>
          <w:tcPr>
            <w:tcW w:w="9568" w:type="dxa"/>
            <w:gridSpan w:val="4"/>
          </w:tcPr>
          <w:p w14:paraId="6B458151" w14:textId="77777777" w:rsidR="00C74B6F" w:rsidRDefault="00C74B6F"/>
        </w:tc>
      </w:tr>
      <w:tr w:rsidR="00C74B6F" w14:paraId="45E230EE" w14:textId="77777777" w:rsidTr="00036794">
        <w:trPr>
          <w:cantSplit/>
        </w:trPr>
        <w:tc>
          <w:tcPr>
            <w:tcW w:w="9568" w:type="dxa"/>
            <w:gridSpan w:val="4"/>
          </w:tcPr>
          <w:p w14:paraId="7525CACE" w14:textId="77777777" w:rsidR="00C74B6F" w:rsidRDefault="00C74B6F"/>
        </w:tc>
      </w:tr>
      <w:tr w:rsidR="006E3DD8" w14:paraId="448EF533" w14:textId="77777777" w:rsidTr="00036794">
        <w:trPr>
          <w:cantSplit/>
        </w:trPr>
        <w:tc>
          <w:tcPr>
            <w:tcW w:w="3331" w:type="dxa"/>
          </w:tcPr>
          <w:p w14:paraId="117BEA1D" w14:textId="77777777" w:rsidR="006E3DD8" w:rsidRDefault="003A7263" w:rsidP="0076350E">
            <w:pPr>
              <w:ind w:right="-70"/>
            </w:pPr>
            <w:r>
              <w:t>Québec</w:t>
            </w:r>
            <w:r w:rsidR="00C04E32">
              <w:t>,</w:t>
            </w:r>
          </w:p>
        </w:tc>
        <w:tc>
          <w:tcPr>
            <w:tcW w:w="6237" w:type="dxa"/>
            <w:gridSpan w:val="3"/>
          </w:tcPr>
          <w:p w14:paraId="59D1113B" w14:textId="5A86AC3F" w:rsidR="006E3DD8" w:rsidRDefault="00C04E32" w:rsidP="00F36BF7">
            <w:pPr>
              <w:pStyle w:val="zSoquijdatDateJugement"/>
            </w:pPr>
            <w:r>
              <w:t xml:space="preserve">le </w:t>
            </w:r>
            <w:r w:rsidR="00F36BF7">
              <w:t>9 août 2023</w:t>
            </w:r>
          </w:p>
        </w:tc>
      </w:tr>
      <w:tr w:rsidR="00942AB8" w14:paraId="287F5261" w14:textId="77777777" w:rsidTr="00036794">
        <w:trPr>
          <w:cantSplit/>
        </w:trPr>
        <w:tc>
          <w:tcPr>
            <w:tcW w:w="9568" w:type="dxa"/>
            <w:gridSpan w:val="4"/>
          </w:tcPr>
          <w:p w14:paraId="3B618D87" w14:textId="77777777" w:rsidR="00942AB8" w:rsidRDefault="00942AB8" w:rsidP="00FA153F">
            <w:r>
              <w:t>______________________________________________________________________</w:t>
            </w:r>
          </w:p>
        </w:tc>
      </w:tr>
      <w:tr w:rsidR="00942AB8" w14:paraId="7C675EC1" w14:textId="77777777" w:rsidTr="00036794">
        <w:trPr>
          <w:cantSplit/>
          <w:trHeight w:val="148"/>
        </w:trPr>
        <w:tc>
          <w:tcPr>
            <w:tcW w:w="9568" w:type="dxa"/>
            <w:gridSpan w:val="4"/>
          </w:tcPr>
          <w:p w14:paraId="37882104" w14:textId="77777777" w:rsidR="00942AB8" w:rsidRDefault="00942AB8" w:rsidP="00FA153F"/>
        </w:tc>
      </w:tr>
      <w:tr w:rsidR="0035375B" w14:paraId="21FCB59F" w14:textId="77777777" w:rsidTr="00036794">
        <w:trPr>
          <w:cantSplit/>
          <w:trHeight w:val="148"/>
        </w:trPr>
        <w:tc>
          <w:tcPr>
            <w:tcW w:w="5883" w:type="dxa"/>
            <w:gridSpan w:val="3"/>
          </w:tcPr>
          <w:p w14:paraId="24AB1D2F" w14:textId="77777777" w:rsidR="0035375B" w:rsidRPr="00942AB8" w:rsidRDefault="0035375B" w:rsidP="003A7263">
            <w:pPr>
              <w:rPr>
                <w:b/>
                <w:bCs/>
              </w:rPr>
            </w:pPr>
            <w:bookmarkStart w:id="3" w:name="ref_commissaire" w:colFirst="1" w:colLast="1"/>
            <w:r w:rsidRPr="00942AB8">
              <w:rPr>
                <w:b/>
                <w:bCs/>
              </w:rPr>
              <w:t>DEVANT L</w:t>
            </w:r>
            <w:r w:rsidR="003A7263">
              <w:rPr>
                <w:b/>
                <w:bCs/>
              </w:rPr>
              <w:t>A</w:t>
            </w:r>
            <w:r w:rsidRPr="00942AB8">
              <w:rPr>
                <w:b/>
                <w:bCs/>
              </w:rPr>
              <w:t xml:space="preserve"> JUGE ADMINISTRATI</w:t>
            </w:r>
            <w:r w:rsidR="003A7263">
              <w:rPr>
                <w:b/>
                <w:bCs/>
              </w:rPr>
              <w:t>VE</w:t>
            </w:r>
            <w:r w:rsidRPr="00942AB8">
              <w:rPr>
                <w:b/>
                <w:bCs/>
              </w:rPr>
              <w:t> :</w:t>
            </w:r>
          </w:p>
        </w:tc>
        <w:tc>
          <w:tcPr>
            <w:tcW w:w="3685" w:type="dxa"/>
          </w:tcPr>
          <w:p w14:paraId="538B4C58" w14:textId="77777777" w:rsidR="0035375B" w:rsidRPr="00942AB8" w:rsidRDefault="003A7263" w:rsidP="005B5689">
            <w:pPr>
              <w:pStyle w:val="zSoquijdatJuge"/>
              <w:rPr>
                <w:bCs/>
              </w:rPr>
            </w:pPr>
            <w:r>
              <w:t>Annie Laprade</w:t>
            </w:r>
          </w:p>
        </w:tc>
      </w:tr>
      <w:bookmarkEnd w:id="3"/>
      <w:tr w:rsidR="00942AB8" w14:paraId="3016D655" w14:textId="77777777" w:rsidTr="00036794">
        <w:trPr>
          <w:cantSplit/>
          <w:trHeight w:val="148"/>
        </w:trPr>
        <w:tc>
          <w:tcPr>
            <w:tcW w:w="9568" w:type="dxa"/>
            <w:gridSpan w:val="4"/>
          </w:tcPr>
          <w:p w14:paraId="76D04C95" w14:textId="77777777" w:rsidR="00942AB8" w:rsidRDefault="00942AB8" w:rsidP="00FA153F">
            <w:r>
              <w:t>______________________________________________________________________</w:t>
            </w:r>
          </w:p>
        </w:tc>
      </w:tr>
      <w:tr w:rsidR="00942AB8" w14:paraId="063F788E" w14:textId="77777777" w:rsidTr="00036794">
        <w:tc>
          <w:tcPr>
            <w:tcW w:w="9568" w:type="dxa"/>
            <w:gridSpan w:val="4"/>
          </w:tcPr>
          <w:p w14:paraId="77294B6C" w14:textId="77777777" w:rsidR="00942AB8" w:rsidRDefault="00942AB8"/>
        </w:tc>
      </w:tr>
      <w:tr w:rsidR="00942AB8" w14:paraId="63CD02F1" w14:textId="77777777" w:rsidTr="00E21768">
        <w:tc>
          <w:tcPr>
            <w:tcW w:w="4890" w:type="dxa"/>
            <w:gridSpan w:val="2"/>
          </w:tcPr>
          <w:p w14:paraId="4C009F0D" w14:textId="77777777" w:rsidR="00942AB8" w:rsidRDefault="00942AB8">
            <w:bookmarkStart w:id="4" w:name="bloc_parties_gauche"/>
            <w:bookmarkEnd w:id="4"/>
          </w:p>
        </w:tc>
        <w:tc>
          <w:tcPr>
            <w:tcW w:w="4678" w:type="dxa"/>
            <w:gridSpan w:val="2"/>
          </w:tcPr>
          <w:p w14:paraId="4EE289CB" w14:textId="77777777" w:rsidR="00942AB8" w:rsidRDefault="00942AB8"/>
        </w:tc>
      </w:tr>
      <w:tr w:rsidR="00942AB8" w14:paraId="6AADABD8" w14:textId="77777777" w:rsidTr="00E21768">
        <w:tc>
          <w:tcPr>
            <w:tcW w:w="4890" w:type="dxa"/>
            <w:gridSpan w:val="2"/>
          </w:tcPr>
          <w:p w14:paraId="4AF6BB5B" w14:textId="77777777" w:rsidR="00942AB8" w:rsidRDefault="003A7263">
            <w:pPr>
              <w:pStyle w:val="zSoquijdatNomPartieDem"/>
              <w:rPr>
                <w:b/>
              </w:rPr>
            </w:pPr>
            <w:r w:rsidRPr="003A7263">
              <w:rPr>
                <w:b/>
              </w:rPr>
              <w:t>PF Résolu Canada inc.</w:t>
            </w:r>
          </w:p>
        </w:tc>
        <w:tc>
          <w:tcPr>
            <w:tcW w:w="4678" w:type="dxa"/>
            <w:gridSpan w:val="2"/>
          </w:tcPr>
          <w:p w14:paraId="767E69CC" w14:textId="77777777" w:rsidR="00942AB8" w:rsidRDefault="00942AB8"/>
        </w:tc>
      </w:tr>
      <w:tr w:rsidR="00942AB8" w14:paraId="5DA934EB" w14:textId="77777777" w:rsidTr="00E21768">
        <w:tc>
          <w:tcPr>
            <w:tcW w:w="4890" w:type="dxa"/>
            <w:gridSpan w:val="2"/>
          </w:tcPr>
          <w:p w14:paraId="23A67DAC" w14:textId="77777777" w:rsidR="00942AB8" w:rsidRDefault="005153DB" w:rsidP="007B0DF2">
            <w:pPr>
              <w:pStyle w:val="zSoquijdatQtePartieDem"/>
              <w:tabs>
                <w:tab w:val="left" w:pos="3539"/>
              </w:tabs>
              <w:ind w:left="708"/>
            </w:pPr>
            <w:bookmarkStart w:id="5" w:name="partie_demanderesse"/>
            <w:bookmarkEnd w:id="5"/>
            <w:r>
              <w:t>Association accréditée</w:t>
            </w:r>
          </w:p>
        </w:tc>
        <w:tc>
          <w:tcPr>
            <w:tcW w:w="4678" w:type="dxa"/>
            <w:gridSpan w:val="2"/>
          </w:tcPr>
          <w:p w14:paraId="45300128" w14:textId="77777777" w:rsidR="00942AB8" w:rsidRDefault="00942AB8"/>
        </w:tc>
      </w:tr>
      <w:tr w:rsidR="00942AB8" w14:paraId="39B09D3D" w14:textId="77777777" w:rsidTr="00E21768">
        <w:tc>
          <w:tcPr>
            <w:tcW w:w="4890" w:type="dxa"/>
            <w:gridSpan w:val="2"/>
          </w:tcPr>
          <w:p w14:paraId="3F600FF6" w14:textId="77777777" w:rsidR="00942AB8" w:rsidRDefault="00942AB8" w:rsidP="00E6363B"/>
        </w:tc>
        <w:tc>
          <w:tcPr>
            <w:tcW w:w="4678" w:type="dxa"/>
            <w:gridSpan w:val="2"/>
          </w:tcPr>
          <w:p w14:paraId="63511C1E" w14:textId="77777777" w:rsidR="00942AB8" w:rsidRDefault="00942AB8"/>
        </w:tc>
      </w:tr>
      <w:tr w:rsidR="00942AB8" w14:paraId="5894ED98" w14:textId="77777777" w:rsidTr="00E21768">
        <w:tc>
          <w:tcPr>
            <w:tcW w:w="4890" w:type="dxa"/>
            <w:gridSpan w:val="2"/>
          </w:tcPr>
          <w:p w14:paraId="478D0E0B" w14:textId="6EEF62B4" w:rsidR="00942AB8" w:rsidRPr="005153DB" w:rsidRDefault="00296050" w:rsidP="00D06652">
            <w:pPr>
              <w:pStyle w:val="zSoquijlblLienParties"/>
              <w:rPr>
                <w:highlight w:val="yellow"/>
              </w:rPr>
            </w:pPr>
            <w:r w:rsidRPr="00B519AF">
              <w:t>et</w:t>
            </w:r>
          </w:p>
        </w:tc>
        <w:tc>
          <w:tcPr>
            <w:tcW w:w="4678" w:type="dxa"/>
            <w:gridSpan w:val="2"/>
          </w:tcPr>
          <w:p w14:paraId="09609085" w14:textId="77777777" w:rsidR="00942AB8" w:rsidRDefault="00942AB8"/>
        </w:tc>
      </w:tr>
      <w:tr w:rsidR="00942AB8" w14:paraId="039C0137" w14:textId="77777777" w:rsidTr="00E21768">
        <w:tc>
          <w:tcPr>
            <w:tcW w:w="4890" w:type="dxa"/>
            <w:gridSpan w:val="2"/>
          </w:tcPr>
          <w:p w14:paraId="646BD1A9" w14:textId="77777777" w:rsidR="00942AB8" w:rsidRDefault="00942AB8"/>
        </w:tc>
        <w:tc>
          <w:tcPr>
            <w:tcW w:w="4678" w:type="dxa"/>
            <w:gridSpan w:val="2"/>
          </w:tcPr>
          <w:p w14:paraId="17571A63" w14:textId="77777777" w:rsidR="00942AB8" w:rsidRDefault="00942AB8"/>
        </w:tc>
      </w:tr>
      <w:tr w:rsidR="003A7263" w14:paraId="4D6C3F2D" w14:textId="77777777" w:rsidTr="00580D80">
        <w:tc>
          <w:tcPr>
            <w:tcW w:w="9568" w:type="dxa"/>
            <w:gridSpan w:val="4"/>
          </w:tcPr>
          <w:p w14:paraId="12E745C5" w14:textId="77777777" w:rsidR="003A7263" w:rsidRDefault="003A7263">
            <w:r w:rsidRPr="003A7263">
              <w:rPr>
                <w:b/>
              </w:rPr>
              <w:t>Syndicat des travailleuses et travailleurs de la centrale thermique de Senneterre - CSN</w:t>
            </w:r>
          </w:p>
        </w:tc>
      </w:tr>
      <w:tr w:rsidR="00942AB8" w14:paraId="1FFAD86B" w14:textId="77777777" w:rsidTr="00E21768">
        <w:tc>
          <w:tcPr>
            <w:tcW w:w="4890" w:type="dxa"/>
            <w:gridSpan w:val="2"/>
          </w:tcPr>
          <w:p w14:paraId="4CC08C6B" w14:textId="77777777" w:rsidR="00942AB8" w:rsidRDefault="005153DB">
            <w:pPr>
              <w:pStyle w:val="zSoquijdatQtePartieDef"/>
              <w:ind w:left="708"/>
            </w:pPr>
            <w:r>
              <w:t xml:space="preserve">Employeur </w:t>
            </w:r>
          </w:p>
        </w:tc>
        <w:tc>
          <w:tcPr>
            <w:tcW w:w="4678" w:type="dxa"/>
            <w:gridSpan w:val="2"/>
          </w:tcPr>
          <w:p w14:paraId="11D7D45E" w14:textId="77777777" w:rsidR="00942AB8" w:rsidRDefault="00942AB8"/>
        </w:tc>
      </w:tr>
      <w:tr w:rsidR="0065093D" w14:paraId="3C855D00" w14:textId="77777777" w:rsidTr="00E21768">
        <w:tc>
          <w:tcPr>
            <w:tcW w:w="4890" w:type="dxa"/>
            <w:gridSpan w:val="2"/>
          </w:tcPr>
          <w:p w14:paraId="754D322C" w14:textId="77777777" w:rsidR="0065093D" w:rsidRDefault="0065093D"/>
        </w:tc>
        <w:tc>
          <w:tcPr>
            <w:tcW w:w="4678" w:type="dxa"/>
            <w:gridSpan w:val="2"/>
          </w:tcPr>
          <w:p w14:paraId="2D8AAFC1" w14:textId="77777777" w:rsidR="0065093D" w:rsidRDefault="0065093D"/>
        </w:tc>
      </w:tr>
    </w:tbl>
    <w:p w14:paraId="634D9354" w14:textId="77777777" w:rsidR="00C74B6F" w:rsidRDefault="00C74B6F">
      <w:r>
        <w:t>______________________________________________________________________</w:t>
      </w:r>
    </w:p>
    <w:p w14:paraId="3219DE8D" w14:textId="77777777" w:rsidR="00C74B6F" w:rsidRDefault="00C74B6F"/>
    <w:p w14:paraId="257B8351" w14:textId="77777777" w:rsidR="00C74B6F" w:rsidRPr="005B0612" w:rsidRDefault="00C74B6F" w:rsidP="008B042E">
      <w:pPr>
        <w:jc w:val="center"/>
        <w:rPr>
          <w:b/>
          <w:bCs/>
        </w:rPr>
      </w:pPr>
      <w:bookmarkStart w:id="6" w:name="decision"/>
      <w:r w:rsidRPr="005B0612">
        <w:rPr>
          <w:b/>
          <w:bCs/>
        </w:rPr>
        <w:t>DÉCISION</w:t>
      </w:r>
      <w:bookmarkEnd w:id="6"/>
    </w:p>
    <w:p w14:paraId="0E6987D4" w14:textId="77777777" w:rsidR="008F20EA" w:rsidRDefault="008F20EA" w:rsidP="008F20EA">
      <w:bookmarkStart w:id="7" w:name="separation"/>
      <w:bookmarkStart w:id="8" w:name="parag_1"/>
      <w:r>
        <w:t>______________________________________________________________________</w:t>
      </w:r>
    </w:p>
    <w:p w14:paraId="018C9BD9" w14:textId="77777777" w:rsidR="008F20EA" w:rsidRDefault="008F20EA" w:rsidP="00B519AF">
      <w:pPr>
        <w:pStyle w:val="corpsdedcision"/>
        <w:numPr>
          <w:ilvl w:val="0"/>
          <w:numId w:val="0"/>
        </w:numPr>
        <w:spacing w:before="240" w:after="240"/>
      </w:pPr>
      <w:bookmarkStart w:id="9" w:name="supprimer_apercu"/>
      <w:bookmarkEnd w:id="7"/>
      <w:r>
        <w:rPr>
          <w:b/>
          <w:bCs/>
          <w:u w:val="single"/>
        </w:rPr>
        <w:t>L’APERÇU</w:t>
      </w:r>
    </w:p>
    <w:bookmarkEnd w:id="8"/>
    <w:bookmarkEnd w:id="9"/>
    <w:p w14:paraId="0A43806B" w14:textId="7B4E90E7" w:rsidR="005153DB" w:rsidRPr="006204AB" w:rsidRDefault="00DF3027" w:rsidP="00F05E0E">
      <w:pPr>
        <w:pStyle w:val="corpsdedcision"/>
        <w:tabs>
          <w:tab w:val="clear" w:pos="360"/>
        </w:tabs>
      </w:pPr>
      <w:r>
        <w:t>L’</w:t>
      </w:r>
      <w:r w:rsidR="004648FE">
        <w:t>e</w:t>
      </w:r>
      <w:r>
        <w:t>mployeur</w:t>
      </w:r>
      <w:r w:rsidR="005153DB">
        <w:t xml:space="preserve">, </w:t>
      </w:r>
      <w:r w:rsidR="005153DB" w:rsidRPr="006204AB">
        <w:t>PF Résolu Canada inc.</w:t>
      </w:r>
      <w:r w:rsidR="005153DB">
        <w:t>,</w:t>
      </w:r>
      <w:r w:rsidR="005153DB" w:rsidRPr="006204AB">
        <w:t xml:space="preserve"> </w:t>
      </w:r>
      <w:r w:rsidR="005153DB">
        <w:t>exploite une centrale thermique produisant</w:t>
      </w:r>
      <w:r w:rsidR="005153DB" w:rsidRPr="006204AB">
        <w:t xml:space="preserve"> de l’électricité</w:t>
      </w:r>
      <w:r w:rsidR="005153DB">
        <w:t xml:space="preserve"> </w:t>
      </w:r>
      <w:r w:rsidR="00A7464B">
        <w:t>qu’elle vend</w:t>
      </w:r>
      <w:r w:rsidR="005153DB">
        <w:t xml:space="preserve"> à Hydro-Québec. </w:t>
      </w:r>
    </w:p>
    <w:p w14:paraId="5AA23F45" w14:textId="1F073245" w:rsidR="005153DB" w:rsidRDefault="005153DB" w:rsidP="00F05E0E">
      <w:pPr>
        <w:pStyle w:val="corpsdedcision"/>
        <w:tabs>
          <w:tab w:val="clear" w:pos="360"/>
        </w:tabs>
      </w:pPr>
      <w:r w:rsidRPr="006204AB">
        <w:t>Le Syndicat des travailleuses et travailleurs de la c</w:t>
      </w:r>
      <w:r w:rsidR="0008640E">
        <w:t>entrale thermique de Senneterre - </w:t>
      </w:r>
      <w:r w:rsidRPr="006204AB">
        <w:t xml:space="preserve">CSN </w:t>
      </w:r>
      <w:r w:rsidR="00296050">
        <w:t>représente</w:t>
      </w:r>
      <w:r w:rsidRPr="006204AB">
        <w:t xml:space="preserve"> </w:t>
      </w:r>
      <w:r w:rsidRPr="0008640E">
        <w:rPr>
          <w:iCs/>
        </w:rPr>
        <w:t>«</w:t>
      </w:r>
      <w:r w:rsidR="0008640E">
        <w:rPr>
          <w:i/>
          <w:iCs/>
        </w:rPr>
        <w:t> </w:t>
      </w:r>
      <w:r w:rsidRPr="0008640E">
        <w:rPr>
          <w:i/>
          <w:iCs/>
          <w:sz w:val="22"/>
        </w:rPr>
        <w:t>Tous les salariés au sens du Code du travail à l’exception du personnel administratif </w:t>
      </w:r>
      <w:r w:rsidRPr="0008640E">
        <w:rPr>
          <w:iCs/>
        </w:rPr>
        <w:t>»</w:t>
      </w:r>
      <w:r w:rsidR="00296050">
        <w:rPr>
          <w:i/>
          <w:iCs/>
        </w:rPr>
        <w:t xml:space="preserve"> </w:t>
      </w:r>
      <w:r w:rsidR="00296050">
        <w:t xml:space="preserve">depuis </w:t>
      </w:r>
      <w:r w:rsidR="00296050" w:rsidRPr="006204AB">
        <w:t>le 26 mai 2022</w:t>
      </w:r>
      <w:r w:rsidRPr="006204AB">
        <w:t xml:space="preserve">. </w:t>
      </w:r>
    </w:p>
    <w:p w14:paraId="1D621A77" w14:textId="77777777" w:rsidR="0079591B" w:rsidRDefault="007E2909" w:rsidP="00F05E0E">
      <w:pPr>
        <w:pStyle w:val="corpsdedcision"/>
        <w:tabs>
          <w:tab w:val="clear" w:pos="360"/>
        </w:tabs>
      </w:pPr>
      <w:r w:rsidRPr="006204AB">
        <w:lastRenderedPageBreak/>
        <w:t>En</w:t>
      </w:r>
      <w:r>
        <w:t xml:space="preserve"> vertu de l’article 111.0.17 du </w:t>
      </w:r>
      <w:r w:rsidRPr="00387965">
        <w:rPr>
          <w:i/>
        </w:rPr>
        <w:t>Code du travail</w:t>
      </w:r>
      <w:r w:rsidRPr="00007B52">
        <w:rPr>
          <w:rStyle w:val="Appelnotedebasdep"/>
        </w:rPr>
        <w:footnoteReference w:id="1"/>
      </w:r>
      <w:r>
        <w:t>, le Tribunal peut ordonner à un employeur et à une association accréditée d’un service public de maintenir des services essentiels en cas de grève s’il est d’avis que celle-ci peut avoir pour effet de mettre en danger la</w:t>
      </w:r>
      <w:r w:rsidR="00A26339">
        <w:t xml:space="preserve"> santé ou la sécurité publique. </w:t>
      </w:r>
    </w:p>
    <w:p w14:paraId="579E01AC" w14:textId="77777777" w:rsidR="00A26339" w:rsidRDefault="00A7464B" w:rsidP="00F05E0E">
      <w:pPr>
        <w:pStyle w:val="corpsdedcision"/>
        <w:tabs>
          <w:tab w:val="clear" w:pos="360"/>
        </w:tabs>
      </w:pPr>
      <w:r>
        <w:t xml:space="preserve">Lorsque rendue, cette </w:t>
      </w:r>
      <w:r w:rsidRPr="00175A55">
        <w:t xml:space="preserve">ordonnance </w:t>
      </w:r>
      <w:r>
        <w:t xml:space="preserve">restreint le droit de grève </w:t>
      </w:r>
      <w:r w:rsidR="00707085">
        <w:t>dans la mesure où elle ne peut être exercée pleinement</w:t>
      </w:r>
      <w:r>
        <w:t xml:space="preserve">. </w:t>
      </w:r>
      <w:r w:rsidR="00175A55" w:rsidRPr="00175A55">
        <w:t xml:space="preserve">Les parties doivent </w:t>
      </w:r>
      <w:r w:rsidR="0079591B">
        <w:t xml:space="preserve">alors </w:t>
      </w:r>
      <w:r w:rsidR="00175A55" w:rsidRPr="00175A55">
        <w:t xml:space="preserve">négocier les services essentiels </w:t>
      </w:r>
      <w:r w:rsidR="0079591B">
        <w:t>à maintenir</w:t>
      </w:r>
      <w:r w:rsidR="00175A55" w:rsidRPr="00175A55">
        <w:t xml:space="preserve"> pendant la grève et l’entente ou la liste les prévoyant doit être soumise à l’approbation du Tribunal</w:t>
      </w:r>
      <w:r w:rsidR="009E5309" w:rsidRPr="009E5309">
        <w:t xml:space="preserve"> </w:t>
      </w:r>
      <w:r w:rsidR="009E5309">
        <w:t>comme le prescrivent les articles 111.0.18 et suivants du Code</w:t>
      </w:r>
      <w:r w:rsidR="00175A55" w:rsidRPr="00175A55">
        <w:t xml:space="preserve">. </w:t>
      </w:r>
    </w:p>
    <w:p w14:paraId="63B31766" w14:textId="50C099CC" w:rsidR="00C5734F" w:rsidRDefault="005153DB" w:rsidP="00F05E0E">
      <w:pPr>
        <w:pStyle w:val="corpsdedcision"/>
        <w:tabs>
          <w:tab w:val="clear" w:pos="360"/>
        </w:tabs>
      </w:pPr>
      <w:r w:rsidRPr="006204AB">
        <w:t>En l’occurrence, l’employeur</w:t>
      </w:r>
      <w:r>
        <w:t xml:space="preserve"> constitue un serv</w:t>
      </w:r>
      <w:r w:rsidR="0008640E">
        <w:t>ice public au sens de l’article </w:t>
      </w:r>
      <w:r>
        <w:t xml:space="preserve">111.0.16, soit une entreprise de production, de transport, de distribution d’électricité. </w:t>
      </w:r>
    </w:p>
    <w:p w14:paraId="68957DD1" w14:textId="1E8FF422" w:rsidR="005153DB" w:rsidRDefault="005153DB" w:rsidP="00F05E0E">
      <w:pPr>
        <w:pStyle w:val="corpsdedcision"/>
        <w:tabs>
          <w:tab w:val="clear" w:pos="360"/>
        </w:tabs>
      </w:pPr>
      <w:r>
        <w:t>Pour déterminer s’il y a lieu d’ordonner aux parties de maintenir des services essentiels en cas de grève, le Tribunal doit décider si l’interruption du travail des salariés visés par l’accréditation syndicale peut avoir pour effet de mettre en danger la santé ou la sécurité de la publique.</w:t>
      </w:r>
      <w:r w:rsidR="00A7464B" w:rsidRPr="00A7464B">
        <w:t xml:space="preserve"> </w:t>
      </w:r>
      <w:r w:rsidR="00A7464B">
        <w:t>Pour ce faire, «</w:t>
      </w:r>
      <w:r w:rsidR="00F05E0E">
        <w:t> </w:t>
      </w:r>
      <w:r w:rsidR="00A7464B" w:rsidRPr="00A537BD">
        <w:rPr>
          <w:rStyle w:val="Citationintgre"/>
        </w:rPr>
        <w:t>il suffit d’identifier au moins un service dont l’interruption pendant la grève peut entraîner un tel danger</w:t>
      </w:r>
      <w:r w:rsidR="00F05E0E">
        <w:t> </w:t>
      </w:r>
      <w:r w:rsidR="00A7464B">
        <w:t>»</w:t>
      </w:r>
      <w:r w:rsidR="00A7464B">
        <w:rPr>
          <w:rStyle w:val="Appelnotedebasdep"/>
        </w:rPr>
        <w:footnoteReference w:id="2"/>
      </w:r>
      <w:r w:rsidR="00A7464B">
        <w:t>.</w:t>
      </w:r>
    </w:p>
    <w:p w14:paraId="4A08ABFE" w14:textId="77777777" w:rsidR="00CB6F47" w:rsidRPr="00CB6F47" w:rsidRDefault="00CB6F47" w:rsidP="00F05E0E">
      <w:pPr>
        <w:pStyle w:val="corpsdedcision"/>
        <w:tabs>
          <w:tab w:val="clear" w:pos="360"/>
        </w:tabs>
      </w:pPr>
      <w:r w:rsidRPr="00CB6F47">
        <w:t>Le Tribunal a demandé aux parties de lui transmettre leurs observations</w:t>
      </w:r>
      <w:r>
        <w:t>, ce qu’elles ont fait</w:t>
      </w:r>
      <w:r w:rsidRPr="00CB6F47">
        <w:t xml:space="preserve">. </w:t>
      </w:r>
      <w:r>
        <w:t xml:space="preserve">À la demande du Tribunal, l'employeur </w:t>
      </w:r>
      <w:r w:rsidR="0079591B">
        <w:t xml:space="preserve">a </w:t>
      </w:r>
      <w:r>
        <w:t>produit des extraits du contrat qui le lie à Hydro-Québec, le</w:t>
      </w:r>
      <w:r w:rsidR="006D2930">
        <w:t>s</w:t>
      </w:r>
      <w:r>
        <w:t>quel</w:t>
      </w:r>
      <w:r w:rsidR="006D2930">
        <w:t>s</w:t>
      </w:r>
      <w:r>
        <w:t xml:space="preserve"> </w:t>
      </w:r>
      <w:r w:rsidR="006D2930">
        <w:t>ont</w:t>
      </w:r>
      <w:r>
        <w:t xml:space="preserve"> été commenté</w:t>
      </w:r>
      <w:r w:rsidR="006D2930">
        <w:t>s</w:t>
      </w:r>
      <w:r>
        <w:t xml:space="preserve"> par les parties.</w:t>
      </w:r>
      <w:r w:rsidRPr="00CB6F47">
        <w:t xml:space="preserve"> </w:t>
      </w:r>
    </w:p>
    <w:p w14:paraId="49BB0CC9" w14:textId="1289F564" w:rsidR="00CB6F47" w:rsidRDefault="00CB6F47" w:rsidP="00F05E0E">
      <w:pPr>
        <w:pStyle w:val="corpsdedcision"/>
        <w:tabs>
          <w:tab w:val="clear" w:pos="360"/>
        </w:tabs>
        <w:spacing w:after="240"/>
      </w:pPr>
      <w:r>
        <w:t>Au moment de produire les extraits du contrat conclu avec Hydro-Québec, l’employeur requiert qu’une ordonnance de confidentialité soit rendue avec les conclusions suivantes</w:t>
      </w:r>
      <w:r w:rsidR="00F05E0E">
        <w:t> </w:t>
      </w:r>
      <w:r>
        <w:t xml:space="preserve">: </w:t>
      </w:r>
    </w:p>
    <w:p w14:paraId="48866249" w14:textId="25AE1A57" w:rsidR="00CB6F47" w:rsidRPr="00423834" w:rsidRDefault="00CB6F47" w:rsidP="00F05E0E">
      <w:pPr>
        <w:pStyle w:val="citation"/>
        <w:spacing w:after="120"/>
      </w:pPr>
      <w:r w:rsidRPr="00423834">
        <w:t>DÉCLARER confidentiels l’</w:t>
      </w:r>
      <w:r w:rsidRPr="00423834">
        <w:rPr>
          <w:i/>
          <w:iCs/>
        </w:rPr>
        <w:t>Amendement no 4 au contrat d’achat d’électricité</w:t>
      </w:r>
      <w:r w:rsidRPr="00423834">
        <w:t>, l’</w:t>
      </w:r>
      <w:r w:rsidRPr="00423834">
        <w:rPr>
          <w:i/>
          <w:iCs/>
        </w:rPr>
        <w:t xml:space="preserve">Entente commune pour l’exploitation en mode </w:t>
      </w:r>
      <w:proofErr w:type="spellStart"/>
      <w:r w:rsidRPr="00423834">
        <w:rPr>
          <w:i/>
          <w:iCs/>
        </w:rPr>
        <w:t>îlotée</w:t>
      </w:r>
      <w:proofErr w:type="spellEnd"/>
      <w:r w:rsidRPr="00423834">
        <w:rPr>
          <w:i/>
          <w:iCs/>
        </w:rPr>
        <w:t xml:space="preserve"> de la centrale Senneterre sur les charges d’Hydro-</w:t>
      </w:r>
      <w:r w:rsidRPr="00423834">
        <w:t>Québec, l’</w:t>
      </w:r>
      <w:r w:rsidRPr="00423834">
        <w:rPr>
          <w:i/>
          <w:iCs/>
        </w:rPr>
        <w:t xml:space="preserve">Entente de cession de l’entente commune pour l’exploitation en mode </w:t>
      </w:r>
      <w:proofErr w:type="spellStart"/>
      <w:r w:rsidRPr="00423834">
        <w:rPr>
          <w:i/>
          <w:iCs/>
        </w:rPr>
        <w:t>îlotée</w:t>
      </w:r>
      <w:proofErr w:type="spellEnd"/>
      <w:r w:rsidRPr="00423834">
        <w:rPr>
          <w:i/>
          <w:iCs/>
        </w:rPr>
        <w:t xml:space="preserve"> de la centrale Senneterre sur les charges d’Hydro-</w:t>
      </w:r>
      <w:r w:rsidRPr="00423834">
        <w:t>Québec en date du 1er avril 2022 et l’</w:t>
      </w:r>
      <w:r w:rsidRPr="00423834">
        <w:rPr>
          <w:i/>
          <w:iCs/>
        </w:rPr>
        <w:t>Entente relative à la suspension d’une portion des livraisons d’énergie pour les années 2019 à 2026</w:t>
      </w:r>
      <w:r w:rsidR="00F05E0E">
        <w:t>, datée du 22 décembre 2016;</w:t>
      </w:r>
    </w:p>
    <w:p w14:paraId="419AA374" w14:textId="3732BDCC" w:rsidR="00CB6F47" w:rsidRPr="00423834" w:rsidRDefault="00CB6F47" w:rsidP="00F05E0E">
      <w:pPr>
        <w:pStyle w:val="citation"/>
        <w:spacing w:after="120"/>
      </w:pPr>
      <w:r w:rsidRPr="00423834">
        <w:t>INTERDIRE à toute personne la publication, la divulgation et la diffusion des renseignements ou des do</w:t>
      </w:r>
      <w:r w:rsidR="00F05E0E">
        <w:t>cuments déclarés confidentiels;</w:t>
      </w:r>
    </w:p>
    <w:p w14:paraId="3D8843A5" w14:textId="5197B12E" w:rsidR="00CB6F47" w:rsidRDefault="00CB6F47" w:rsidP="00F05E0E">
      <w:pPr>
        <w:pStyle w:val="citation"/>
        <w:spacing w:after="360"/>
      </w:pPr>
      <w:r w:rsidRPr="00423834">
        <w:lastRenderedPageBreak/>
        <w:t xml:space="preserve">INTERDIRE à toute personne ayant pris connaissance des documents visés par la présente ordonnance de communiquer un ou des renseignements contenus dans les documents mentionnés ou une copie desdits documents. </w:t>
      </w:r>
      <w:r>
        <w:rPr>
          <w:rStyle w:val="Appelnotedebasdep"/>
        </w:rPr>
        <w:footnoteReference w:id="3"/>
      </w:r>
    </w:p>
    <w:p w14:paraId="2F97F905" w14:textId="77777777" w:rsidR="005153DB" w:rsidRPr="007A4A9D" w:rsidRDefault="00CB6F47" w:rsidP="00CB6F47">
      <w:pPr>
        <w:pStyle w:val="corpsdedcision"/>
        <w:tabs>
          <w:tab w:val="clear" w:pos="360"/>
          <w:tab w:val="num" w:pos="720"/>
        </w:tabs>
      </w:pPr>
      <w:r>
        <w:t>Le Tribunal devra donc décider s’il est opportun</w:t>
      </w:r>
      <w:r w:rsidRPr="00CB6F47">
        <w:t xml:space="preserve"> de rendre une </w:t>
      </w:r>
      <w:r w:rsidR="0079591B">
        <w:t xml:space="preserve">telle </w:t>
      </w:r>
      <w:r w:rsidRPr="00CB6F47">
        <w:t xml:space="preserve">ordonnance </w:t>
      </w:r>
      <w:r w:rsidRPr="007A4A9D">
        <w:t>visant le contrat de l’employeur avec Hydro-Québec.</w:t>
      </w:r>
    </w:p>
    <w:p w14:paraId="7438F3C1" w14:textId="77777777" w:rsidR="00856ACF" w:rsidRPr="007A4A9D" w:rsidRDefault="00856ACF" w:rsidP="00CB6F47">
      <w:pPr>
        <w:pStyle w:val="corpsdedcision"/>
        <w:tabs>
          <w:tab w:val="clear" w:pos="360"/>
          <w:tab w:val="num" w:pos="720"/>
        </w:tabs>
      </w:pPr>
      <w:r w:rsidRPr="007A4A9D">
        <w:t>P</w:t>
      </w:r>
      <w:r w:rsidR="007A4A9D" w:rsidRPr="007A4A9D">
        <w:t xml:space="preserve">our les raisons qui suivent, le Tribunal conclut que l’interruption du travail des salariés pendant la grève ne met pas en danger la santé ou la sécurité publique. Les parties ne sont </w:t>
      </w:r>
      <w:r w:rsidR="00BA5C4C">
        <w:t xml:space="preserve">donc </w:t>
      </w:r>
      <w:r w:rsidR="007A4A9D" w:rsidRPr="007A4A9D">
        <w:t>pas assujetties à l’obligation de maintenir des services essentiels.</w:t>
      </w:r>
    </w:p>
    <w:p w14:paraId="47EC2322" w14:textId="77777777" w:rsidR="005153DB" w:rsidRPr="007A4A9D" w:rsidRDefault="007A4A9D" w:rsidP="00F93554">
      <w:pPr>
        <w:pStyle w:val="corpsdedcision"/>
        <w:tabs>
          <w:tab w:val="clear" w:pos="360"/>
          <w:tab w:val="num" w:pos="720"/>
        </w:tabs>
      </w:pPr>
      <w:r w:rsidRPr="007A4A9D">
        <w:t>La demande d’ordonnance de confidentialité est rejetée</w:t>
      </w:r>
      <w:r w:rsidR="006D2930">
        <w:t xml:space="preserve"> parce qu'il n'y a pas de </w:t>
      </w:r>
      <w:r w:rsidR="005153DB" w:rsidRPr="007A4A9D">
        <w:t xml:space="preserve">preuve que </w:t>
      </w:r>
      <w:r w:rsidRPr="007A4A9D">
        <w:t>la</w:t>
      </w:r>
      <w:r w:rsidR="005153DB" w:rsidRPr="007A4A9D">
        <w:t xml:space="preserve"> </w:t>
      </w:r>
      <w:r w:rsidRPr="007A4A9D">
        <w:t>divulgation des ententes contractuelles caviardées pose un risque sérieux pour un intérêt public important.</w:t>
      </w:r>
    </w:p>
    <w:p w14:paraId="490C981B" w14:textId="77777777" w:rsidR="00082A97" w:rsidRDefault="00082A97" w:rsidP="00B519AF">
      <w:pPr>
        <w:pStyle w:val="corpsdedcision"/>
        <w:numPr>
          <w:ilvl w:val="0"/>
          <w:numId w:val="0"/>
        </w:numPr>
        <w:spacing w:before="240" w:after="240"/>
        <w:rPr>
          <w:b/>
          <w:bCs/>
          <w:u w:val="single"/>
        </w:rPr>
      </w:pPr>
      <w:bookmarkStart w:id="10" w:name="supprimer_analyse"/>
      <w:r w:rsidRPr="00B51F99">
        <w:rPr>
          <w:b/>
          <w:bCs/>
          <w:u w:val="single"/>
        </w:rPr>
        <w:t>L</w:t>
      </w:r>
      <w:r>
        <w:rPr>
          <w:b/>
          <w:bCs/>
          <w:u w:val="single"/>
        </w:rPr>
        <w:t>’ANALYSE</w:t>
      </w:r>
    </w:p>
    <w:bookmarkEnd w:id="10"/>
    <w:p w14:paraId="03342BF7" w14:textId="61BE8C7B" w:rsidR="00C832C9" w:rsidRDefault="005153DB" w:rsidP="00B519AF">
      <w:pPr>
        <w:pStyle w:val="corpsdedcision"/>
        <w:numPr>
          <w:ilvl w:val="0"/>
          <w:numId w:val="0"/>
        </w:numPr>
        <w:spacing w:before="240" w:after="240"/>
      </w:pPr>
      <w:r w:rsidRPr="00F93554">
        <w:rPr>
          <w:rFonts w:cs="Arial"/>
          <w:bCs/>
          <w:iCs/>
          <w:caps/>
          <w:szCs w:val="28"/>
          <w:lang w:eastAsia="fr-FR"/>
        </w:rPr>
        <w:t>une grève des personnes salariées représentées par le syndicat peut</w:t>
      </w:r>
      <w:r w:rsidR="00833680">
        <w:rPr>
          <w:rFonts w:cs="Arial"/>
          <w:bCs/>
          <w:iCs/>
          <w:caps/>
          <w:szCs w:val="28"/>
          <w:lang w:eastAsia="fr-FR"/>
        </w:rPr>
        <w:t>-elle</w:t>
      </w:r>
      <w:r w:rsidRPr="00F93554">
        <w:rPr>
          <w:rFonts w:cs="Arial"/>
          <w:bCs/>
          <w:iCs/>
          <w:caps/>
          <w:szCs w:val="28"/>
          <w:lang w:eastAsia="fr-FR"/>
        </w:rPr>
        <w:t xml:space="preserve"> mettre en danger l</w:t>
      </w:r>
      <w:r w:rsidR="0008640E">
        <w:rPr>
          <w:rFonts w:cs="Arial"/>
          <w:bCs/>
          <w:iCs/>
          <w:caps/>
          <w:szCs w:val="28"/>
          <w:lang w:eastAsia="fr-FR"/>
        </w:rPr>
        <w:t>a santé ou la sécurité publique</w:t>
      </w:r>
      <w:r w:rsidRPr="00F93554">
        <w:rPr>
          <w:rFonts w:cs="Arial"/>
          <w:bCs/>
          <w:iCs/>
          <w:caps/>
          <w:szCs w:val="28"/>
          <w:lang w:eastAsia="fr-FR"/>
        </w:rPr>
        <w:t>?</w:t>
      </w:r>
    </w:p>
    <w:p w14:paraId="03874248" w14:textId="4D6F3168" w:rsidR="00856ACF" w:rsidRDefault="00833680" w:rsidP="00856ACF">
      <w:pPr>
        <w:pStyle w:val="corpsdedcision"/>
      </w:pPr>
      <w:r>
        <w:t xml:space="preserve">L’employeur </w:t>
      </w:r>
      <w:r w:rsidR="006D2930">
        <w:t>prétend</w:t>
      </w:r>
      <w:r>
        <w:t xml:space="preserve"> que c’</w:t>
      </w:r>
      <w:r w:rsidR="00B96825">
        <w:t>est le cas puisqu’i</w:t>
      </w:r>
      <w:r w:rsidR="00856ACF">
        <w:t xml:space="preserve">l fournit </w:t>
      </w:r>
      <w:r w:rsidR="0008640E">
        <w:t>de l’électricité à Hydro</w:t>
      </w:r>
      <w:r w:rsidR="0008640E">
        <w:noBreakHyphen/>
        <w:t>Québec et, ultimement,</w:t>
      </w:r>
      <w:r w:rsidR="00856ACF">
        <w:t xml:space="preserve"> à la population</w:t>
      </w:r>
      <w:r w:rsidR="00856ACF">
        <w:rPr>
          <w:rStyle w:val="Appelnotedebasdep"/>
        </w:rPr>
        <w:footnoteReference w:id="4"/>
      </w:r>
      <w:r w:rsidR="00856ACF">
        <w:t xml:space="preserve">. </w:t>
      </w:r>
      <w:r w:rsidR="00FA1941">
        <w:t xml:space="preserve">De plus, </w:t>
      </w:r>
      <w:r w:rsidR="0079591B">
        <w:t>Hydro-Québec peut lui demander d’al</w:t>
      </w:r>
      <w:r w:rsidR="0008640E">
        <w:t xml:space="preserve">imenter la ville de Senneterre </w:t>
      </w:r>
      <w:r w:rsidR="0079591B">
        <w:t>en « </w:t>
      </w:r>
      <w:r w:rsidR="0079591B" w:rsidRPr="007D6CBA">
        <w:rPr>
          <w:i/>
          <w:sz w:val="22"/>
        </w:rPr>
        <w:t xml:space="preserve">mode </w:t>
      </w:r>
      <w:r w:rsidR="00DE13A4">
        <w:rPr>
          <w:i/>
          <w:sz w:val="22"/>
        </w:rPr>
        <w:t>î</w:t>
      </w:r>
      <w:r w:rsidR="0079591B" w:rsidRPr="007D6CBA">
        <w:rPr>
          <w:i/>
          <w:sz w:val="22"/>
        </w:rPr>
        <w:t>l</w:t>
      </w:r>
      <w:r w:rsidR="00DE13A4">
        <w:rPr>
          <w:i/>
          <w:sz w:val="22"/>
        </w:rPr>
        <w:t>o</w:t>
      </w:r>
      <w:r w:rsidR="0079591B" w:rsidRPr="007D6CBA">
        <w:rPr>
          <w:i/>
          <w:sz w:val="22"/>
        </w:rPr>
        <w:t>té</w:t>
      </w:r>
      <w:r w:rsidR="0079591B" w:rsidRPr="007D6CBA">
        <w:rPr>
          <w:sz w:val="22"/>
        </w:rPr>
        <w:t> </w:t>
      </w:r>
      <w:r w:rsidR="0079591B">
        <w:t xml:space="preserve">» </w:t>
      </w:r>
      <w:r w:rsidR="008A5B2B">
        <w:t>s’il n’est pas en mesure de le faire lui-même</w:t>
      </w:r>
      <w:r w:rsidR="00856ACF">
        <w:t xml:space="preserve"> à cause </w:t>
      </w:r>
      <w:r w:rsidR="00FA1941">
        <w:t xml:space="preserve">d’une maintenance ou </w:t>
      </w:r>
      <w:r w:rsidR="002A2E12">
        <w:t>d’une</w:t>
      </w:r>
      <w:r w:rsidR="008A5B2B">
        <w:t xml:space="preserve"> avarie</w:t>
      </w:r>
      <w:r w:rsidR="00856ACF">
        <w:t>.</w:t>
      </w:r>
      <w:r w:rsidR="001362D7">
        <w:t xml:space="preserve"> Une grève l’empêchera de donner suite à cette demande et privera la population d’électricité</w:t>
      </w:r>
      <w:r w:rsidR="00F868F9">
        <w:t>,</w:t>
      </w:r>
      <w:r w:rsidR="001362D7">
        <w:t xml:space="preserve"> ce qui peut mettre en danger</w:t>
      </w:r>
      <w:r w:rsidR="00DF3027">
        <w:t xml:space="preserve"> sa santé ou sa sécurité</w:t>
      </w:r>
      <w:r w:rsidR="001362D7">
        <w:t>.</w:t>
      </w:r>
    </w:p>
    <w:p w14:paraId="77066353" w14:textId="1E67DD34" w:rsidR="00D014B0" w:rsidRPr="007A4A9D" w:rsidRDefault="00856ACF" w:rsidP="000A2E84">
      <w:pPr>
        <w:pStyle w:val="corpsdedcision"/>
        <w:tabs>
          <w:tab w:val="clear" w:pos="360"/>
          <w:tab w:val="num" w:pos="720"/>
        </w:tabs>
      </w:pPr>
      <w:r w:rsidRPr="00C779D7">
        <w:t>Le syndicat</w:t>
      </w:r>
      <w:r>
        <w:t xml:space="preserve"> s</w:t>
      </w:r>
      <w:r w:rsidR="006D2930">
        <w:t>'y oppose. À son avis, l</w:t>
      </w:r>
      <w:r>
        <w:t xml:space="preserve">’employeur </w:t>
      </w:r>
      <w:r w:rsidR="001362D7">
        <w:t>invoque un scénario</w:t>
      </w:r>
      <w:r w:rsidR="009E49DC">
        <w:t xml:space="preserve"> hypothétique </w:t>
      </w:r>
      <w:r w:rsidR="00DF3027">
        <w:t xml:space="preserve">qui </w:t>
      </w:r>
      <w:r w:rsidR="000A2E84">
        <w:t xml:space="preserve">ne justifie pas de </w:t>
      </w:r>
      <w:r w:rsidR="008C53DC">
        <w:t xml:space="preserve">restreindre le droit de grève. </w:t>
      </w:r>
      <w:r w:rsidR="002A2E12">
        <w:t xml:space="preserve">La </w:t>
      </w:r>
      <w:r w:rsidR="008C53DC">
        <w:t xml:space="preserve">centrale </w:t>
      </w:r>
      <w:r w:rsidR="001362D7">
        <w:t>n’a pas alimenté la ville en</w:t>
      </w:r>
      <w:r w:rsidR="008C53DC">
        <w:t xml:space="preserve"> mode </w:t>
      </w:r>
      <w:r w:rsidR="00211A73">
        <w:t>îloté</w:t>
      </w:r>
      <w:r w:rsidR="008C53DC">
        <w:t xml:space="preserve"> </w:t>
      </w:r>
      <w:r w:rsidR="001362D7">
        <w:t>au cours des dix dernières années, et ce</w:t>
      </w:r>
      <w:r w:rsidR="00D128AF">
        <w:t>,</w:t>
      </w:r>
      <w:r w:rsidR="001362D7" w:rsidRPr="008C53DC">
        <w:t xml:space="preserve"> </w:t>
      </w:r>
      <w:r w:rsidR="001362D7">
        <w:t>malgré la survenance de pannes électriques</w:t>
      </w:r>
      <w:r w:rsidR="001362D7">
        <w:rPr>
          <w:rStyle w:val="Appelnotedebasdep"/>
        </w:rPr>
        <w:footnoteReference w:id="5"/>
      </w:r>
      <w:r w:rsidR="001362D7">
        <w:t xml:space="preserve">. Cette procédure </w:t>
      </w:r>
      <w:r w:rsidR="00F868F9">
        <w:t>n’</w:t>
      </w:r>
      <w:r w:rsidR="001362D7">
        <w:t xml:space="preserve">a été utilisée </w:t>
      </w:r>
      <w:r w:rsidR="00F868F9">
        <w:t xml:space="preserve">que </w:t>
      </w:r>
      <w:r w:rsidR="008C53DC">
        <w:t xml:space="preserve">trois ou quatre fois </w:t>
      </w:r>
      <w:r w:rsidR="001362D7">
        <w:t xml:space="preserve">en 20 ans. </w:t>
      </w:r>
      <w:r w:rsidR="004A05DD">
        <w:t>D’ailleurs, un des salariés embauché</w:t>
      </w:r>
      <w:r w:rsidR="004A05DD" w:rsidRPr="009818CF">
        <w:t xml:space="preserve"> en 2014</w:t>
      </w:r>
      <w:r w:rsidR="004A05DD">
        <w:t xml:space="preserve"> témoigne n’avoir jamais reçu d’informations</w:t>
      </w:r>
      <w:r w:rsidR="004A05DD" w:rsidRPr="008C53DC">
        <w:t xml:space="preserve"> </w:t>
      </w:r>
      <w:r w:rsidR="004A05DD" w:rsidRPr="009818CF">
        <w:t xml:space="preserve">sur </w:t>
      </w:r>
      <w:r w:rsidR="004A05DD">
        <w:t xml:space="preserve">son </w:t>
      </w:r>
      <w:r w:rsidR="004A05DD" w:rsidRPr="009818CF">
        <w:t>fonctionnement</w:t>
      </w:r>
      <w:r w:rsidR="004A05DD">
        <w:rPr>
          <w:rStyle w:val="Appelnotedebasdep"/>
        </w:rPr>
        <w:footnoteReference w:id="6"/>
      </w:r>
      <w:r w:rsidR="004A05DD">
        <w:t xml:space="preserve">. </w:t>
      </w:r>
      <w:r w:rsidR="00FD3F6D">
        <w:t xml:space="preserve">Soit cela n’est pas nécessaire pour éviter de mettre en danger la santé </w:t>
      </w:r>
      <w:r w:rsidR="00FD3F6D" w:rsidRPr="007A4A9D">
        <w:t>ou la sécurité publique, soit ce n’est pas possible</w:t>
      </w:r>
      <w:r w:rsidR="00FD3F6D" w:rsidRPr="007A4A9D">
        <w:rPr>
          <w:rStyle w:val="Appelnotedebasdep"/>
        </w:rPr>
        <w:footnoteReference w:id="7"/>
      </w:r>
      <w:r w:rsidR="00FD3F6D" w:rsidRPr="007A4A9D">
        <w:t>, plaide-t-il.</w:t>
      </w:r>
      <w:r w:rsidR="008C53DC" w:rsidRPr="007A4A9D">
        <w:t xml:space="preserve"> </w:t>
      </w:r>
    </w:p>
    <w:p w14:paraId="4B1D6D90" w14:textId="77777777" w:rsidR="000A2E84" w:rsidRPr="007A4A9D" w:rsidRDefault="00DF3027" w:rsidP="000A2E84">
      <w:pPr>
        <w:pStyle w:val="corpsdedcision"/>
        <w:tabs>
          <w:tab w:val="clear" w:pos="360"/>
          <w:tab w:val="num" w:pos="720"/>
        </w:tabs>
      </w:pPr>
      <w:r>
        <w:lastRenderedPageBreak/>
        <w:t xml:space="preserve">Le </w:t>
      </w:r>
      <w:r w:rsidR="000A2E84" w:rsidRPr="007A4A9D">
        <w:t>Tribunal est d’avis qu’une grève déclenchée par les salariés représentés par le syndicat n’a</w:t>
      </w:r>
      <w:r>
        <w:t>urait</w:t>
      </w:r>
      <w:r w:rsidR="000A2E84" w:rsidRPr="007A4A9D">
        <w:t xml:space="preserve"> pas pour effet de mettre en danger la santé ou la sécurité publique.</w:t>
      </w:r>
    </w:p>
    <w:p w14:paraId="43011922" w14:textId="77777777" w:rsidR="00C779D7" w:rsidRDefault="00C779D7" w:rsidP="00C779D7">
      <w:pPr>
        <w:pStyle w:val="Titre3"/>
      </w:pPr>
      <w:r>
        <w:t>Le droit</w:t>
      </w:r>
    </w:p>
    <w:p w14:paraId="1C2E15CE" w14:textId="77777777" w:rsidR="000A7C1E" w:rsidRDefault="00C779D7" w:rsidP="000A7C1E">
      <w:pPr>
        <w:pStyle w:val="corpsdedcision"/>
      </w:pPr>
      <w:r>
        <w:t>L</w:t>
      </w:r>
      <w:r w:rsidR="000A2E84">
        <w:t>e droit d</w:t>
      </w:r>
      <w:r>
        <w:t xml:space="preserve">es salariés syndiqués de faire la grève dans le cadre </w:t>
      </w:r>
      <w:r w:rsidR="00761577">
        <w:t xml:space="preserve">des négociations visant le </w:t>
      </w:r>
      <w:r>
        <w:t>renouvellement de leur convention collective fait partie de la liberté d’association protégée par les chartes</w:t>
      </w:r>
      <w:r>
        <w:rPr>
          <w:rStyle w:val="Appelnotedebasdep"/>
        </w:rPr>
        <w:footnoteReference w:id="8"/>
      </w:r>
      <w:r>
        <w:t xml:space="preserve">. Il </w:t>
      </w:r>
      <w:r w:rsidR="000A2E84">
        <w:t>peut</w:t>
      </w:r>
      <w:r>
        <w:t xml:space="preserve"> cependant être restreint </w:t>
      </w:r>
      <w:r w:rsidR="000A2E84">
        <w:t>s’il</w:t>
      </w:r>
      <w:r>
        <w:t xml:space="preserve"> peut avoir pour effet de mettre en danger la santé ou la sécurité publique. </w:t>
      </w:r>
      <w:r w:rsidR="00F868F9">
        <w:t>Dans ce cas</w:t>
      </w:r>
      <w:r w:rsidR="006D2930">
        <w:rPr>
          <w:lang w:eastAsia="fr-FR"/>
        </w:rPr>
        <w:t>,</w:t>
      </w:r>
      <w:r w:rsidR="000A7C1E" w:rsidRPr="000A7C1E">
        <w:t xml:space="preserve"> </w:t>
      </w:r>
      <w:r w:rsidR="000A7C1E">
        <w:t>il sera ordonné aux parties de maintenir des services essentiels.</w:t>
      </w:r>
    </w:p>
    <w:p w14:paraId="2F073B41" w14:textId="77777777" w:rsidR="000A7C1E" w:rsidRDefault="000A7C1E" w:rsidP="00B519AF">
      <w:pPr>
        <w:pStyle w:val="corpsdedcision"/>
        <w:spacing w:after="240"/>
        <w:rPr>
          <w:lang w:eastAsia="fr-FR"/>
        </w:rPr>
      </w:pPr>
      <w:r>
        <w:rPr>
          <w:lang w:eastAsia="fr-FR"/>
        </w:rPr>
        <w:t xml:space="preserve">Dans l’affaire </w:t>
      </w:r>
      <w:r w:rsidRPr="005C5E92">
        <w:rPr>
          <w:i/>
          <w:iCs/>
        </w:rPr>
        <w:t>Centre résidentiel communautaire Arc-en-Soi inc.</w:t>
      </w:r>
      <w:r w:rsidR="0075251C" w:rsidRPr="007D6CBA">
        <w:rPr>
          <w:rStyle w:val="Appelnotedebasdep"/>
          <w:iCs/>
        </w:rPr>
        <w:footnoteReference w:id="9"/>
      </w:r>
      <w:r>
        <w:rPr>
          <w:i/>
          <w:iCs/>
        </w:rPr>
        <w:t xml:space="preserve">, </w:t>
      </w:r>
      <w:r>
        <w:rPr>
          <w:iCs/>
        </w:rPr>
        <w:t xml:space="preserve">le Tribunal invite à la prudence </w:t>
      </w:r>
      <w:r w:rsidR="00F9595E">
        <w:rPr>
          <w:iCs/>
        </w:rPr>
        <w:t>avant de</w:t>
      </w:r>
      <w:r>
        <w:rPr>
          <w:iCs/>
        </w:rPr>
        <w:t xml:space="preserve"> limiter le droit de grève </w:t>
      </w:r>
      <w:r w:rsidR="00A3654B">
        <w:rPr>
          <w:iCs/>
        </w:rPr>
        <w:t>pour</w:t>
      </w:r>
      <w:r>
        <w:rPr>
          <w:iCs/>
        </w:rPr>
        <w:t xml:space="preserve"> de</w:t>
      </w:r>
      <w:r w:rsidR="00A3654B">
        <w:rPr>
          <w:iCs/>
        </w:rPr>
        <w:t>s</w:t>
      </w:r>
      <w:r>
        <w:rPr>
          <w:iCs/>
        </w:rPr>
        <w:t xml:space="preserve"> situations </w:t>
      </w:r>
      <w:r w:rsidR="0093066E">
        <w:rPr>
          <w:iCs/>
        </w:rPr>
        <w:t>dont elle n’est pas la cause</w:t>
      </w:r>
      <w:r w:rsidR="00DF3027">
        <w:rPr>
          <w:iCs/>
        </w:rPr>
        <w:t> :</w:t>
      </w:r>
    </w:p>
    <w:p w14:paraId="43790807" w14:textId="0D93B0D9" w:rsidR="000A7C1E" w:rsidRDefault="00D128AF" w:rsidP="00D128AF">
      <w:pPr>
        <w:pStyle w:val="citation"/>
        <w:tabs>
          <w:tab w:val="left" w:pos="1276"/>
        </w:tabs>
      </w:pPr>
      <w:r>
        <w:t>[44]</w:t>
      </w:r>
      <w:r>
        <w:tab/>
      </w:r>
      <w:r w:rsidR="000A7C1E" w:rsidRPr="005C5E92">
        <w:t xml:space="preserve">Cependant, le Tribunal est guidé par les enseignements de la Cour suprême dans l’arrêt Saskatchewan, précité, ayant constitutionnalisé le droit de grève et par la jurisprudence récente du Tribunal qui y fait écho, sachant que désormais, « </w:t>
      </w:r>
      <w:r w:rsidR="000A7C1E" w:rsidRPr="000A7C1E">
        <w:rPr>
          <w:i/>
        </w:rPr>
        <w:t>il est de son devoir de protéger non seulement la santé ou la sécurité de la population, mais aussi le droit de grève</w:t>
      </w:r>
      <w:r w:rsidR="000A7C1E" w:rsidRPr="005C5E92">
        <w:t xml:space="preserve"> »</w:t>
      </w:r>
      <w:r w:rsidR="000A7C1E" w:rsidRPr="007D6CBA">
        <w:rPr>
          <w:vertAlign w:val="superscript"/>
        </w:rPr>
        <w:t>16</w:t>
      </w:r>
      <w:r w:rsidR="000A7C1E" w:rsidRPr="005C5E92">
        <w:t xml:space="preserve">.  </w:t>
      </w:r>
    </w:p>
    <w:p w14:paraId="1535BF19" w14:textId="77777777" w:rsidR="000A7C1E" w:rsidRPr="005C5E92" w:rsidRDefault="000A7C1E" w:rsidP="000A7C1E">
      <w:pPr>
        <w:pStyle w:val="citation"/>
      </w:pPr>
    </w:p>
    <w:p w14:paraId="3B739020" w14:textId="3B46B351" w:rsidR="00A3654B" w:rsidRDefault="00D128AF" w:rsidP="00D128AF">
      <w:pPr>
        <w:pStyle w:val="citation"/>
        <w:tabs>
          <w:tab w:val="left" w:pos="1276"/>
        </w:tabs>
        <w:spacing w:after="120"/>
      </w:pPr>
      <w:r>
        <w:t>[45]</w:t>
      </w:r>
      <w:r>
        <w:tab/>
      </w:r>
      <w:r w:rsidR="000A7C1E" w:rsidRPr="005C5E92">
        <w:rPr>
          <w:u w:val="single"/>
        </w:rPr>
        <w:t>Ainsi, il doit agir avec circonspection et ne saurait fair</w:t>
      </w:r>
      <w:r>
        <w:rPr>
          <w:u w:val="single"/>
        </w:rPr>
        <w:t>e porter à une grève éventuelle – </w:t>
      </w:r>
      <w:r w:rsidR="000A7C1E" w:rsidRPr="005C5E92">
        <w:rPr>
          <w:u w:val="single"/>
        </w:rPr>
        <w:t>et restreindre ce droit – la responsabilité des situations qu’appréhende l’Employeur dans ses représentations et dont elle ne serait pas la cause</w:t>
      </w:r>
      <w:r w:rsidR="00A3654B">
        <w:t xml:space="preserve">. </w:t>
      </w:r>
    </w:p>
    <w:p w14:paraId="7C5F9B6D" w14:textId="04CE0578" w:rsidR="000A7C1E" w:rsidRPr="00B519AF" w:rsidRDefault="0028575E" w:rsidP="00B519AF">
      <w:pPr>
        <w:pStyle w:val="citation"/>
        <w:spacing w:after="360"/>
        <w:ind w:left="709"/>
        <w:rPr>
          <w:sz w:val="24"/>
          <w:szCs w:val="24"/>
        </w:rPr>
      </w:pPr>
      <w:r w:rsidRPr="0075251C">
        <w:rPr>
          <w:sz w:val="24"/>
          <w:szCs w:val="24"/>
        </w:rPr>
        <w:t>[Notre</w:t>
      </w:r>
      <w:r w:rsidR="00A3654B" w:rsidRPr="0075251C">
        <w:rPr>
          <w:sz w:val="24"/>
          <w:szCs w:val="24"/>
        </w:rPr>
        <w:t xml:space="preserve"> soulignement</w:t>
      </w:r>
      <w:r w:rsidR="0075251C" w:rsidRPr="0075251C">
        <w:rPr>
          <w:sz w:val="24"/>
          <w:szCs w:val="24"/>
        </w:rPr>
        <w:t>, note omise</w:t>
      </w:r>
      <w:r w:rsidR="00A3654B" w:rsidRPr="0075251C">
        <w:rPr>
          <w:sz w:val="24"/>
          <w:szCs w:val="24"/>
        </w:rPr>
        <w:t>]</w:t>
      </w:r>
    </w:p>
    <w:p w14:paraId="7ADAACD0" w14:textId="2F35960F" w:rsidR="0028575E" w:rsidRDefault="00C779D7" w:rsidP="0028575E">
      <w:pPr>
        <w:pStyle w:val="corpsdedcision"/>
        <w:tabs>
          <w:tab w:val="clear" w:pos="360"/>
          <w:tab w:val="num" w:pos="720"/>
        </w:tabs>
      </w:pPr>
      <w:r>
        <w:t>Un service essentiel vise à prévenir «</w:t>
      </w:r>
      <w:r w:rsidR="00D128AF">
        <w:t> </w:t>
      </w:r>
      <w:r w:rsidRPr="00711D1A">
        <w:rPr>
          <w:rStyle w:val="Citationintgre"/>
        </w:rPr>
        <w:t>une menace évidente et imminente pour la vie, la sécurité et la santé</w:t>
      </w:r>
      <w:r w:rsidR="00D128AF">
        <w:t> </w:t>
      </w:r>
      <w:r>
        <w:t>»</w:t>
      </w:r>
      <w:r w:rsidR="0075251C">
        <w:t xml:space="preserve">. Son </w:t>
      </w:r>
      <w:r>
        <w:t>interruption menacerait, dans les faits, de causer un préjudice grave au public</w:t>
      </w:r>
      <w:r>
        <w:rPr>
          <w:rStyle w:val="Appelnotedebasdep"/>
        </w:rPr>
        <w:footnoteReference w:id="10"/>
      </w:r>
      <w:r>
        <w:t xml:space="preserve">. Ce danger </w:t>
      </w:r>
      <w:r w:rsidR="0028575E">
        <w:t>requiert</w:t>
      </w:r>
      <w:r w:rsidR="0028575E" w:rsidRPr="008150FB">
        <w:t xml:space="preserve"> la preuve d’une menace réelle</w:t>
      </w:r>
      <w:r w:rsidR="0028575E">
        <w:t xml:space="preserve">, </w:t>
      </w:r>
      <w:r w:rsidR="000A7C1E">
        <w:t>ce qui exclut les</w:t>
      </w:r>
      <w:r>
        <w:t xml:space="preserve"> </w:t>
      </w:r>
      <w:r w:rsidRPr="009C2A8B">
        <w:rPr>
          <w:i/>
          <w:szCs w:val="24"/>
        </w:rPr>
        <w:t>s</w:t>
      </w:r>
      <w:r w:rsidRPr="009C2A8B">
        <w:rPr>
          <w:rStyle w:val="Citationintgre"/>
          <w:i w:val="0"/>
          <w:sz w:val="24"/>
          <w:szCs w:val="24"/>
        </w:rPr>
        <w:t xml:space="preserve">imples </w:t>
      </w:r>
      <w:r w:rsidR="0028575E" w:rsidRPr="009C2A8B">
        <w:rPr>
          <w:rStyle w:val="Citationintgre"/>
          <w:i w:val="0"/>
          <w:sz w:val="24"/>
          <w:szCs w:val="24"/>
        </w:rPr>
        <w:t xml:space="preserve">risques, </w:t>
      </w:r>
      <w:r w:rsidRPr="009C2A8B">
        <w:rPr>
          <w:rStyle w:val="Citationintgre"/>
          <w:i w:val="0"/>
          <w:sz w:val="24"/>
          <w:szCs w:val="24"/>
        </w:rPr>
        <w:t>craintes</w:t>
      </w:r>
      <w:r w:rsidR="0028575E" w:rsidRPr="009C2A8B">
        <w:rPr>
          <w:rStyle w:val="Citationintgre"/>
          <w:i w:val="0"/>
          <w:sz w:val="24"/>
          <w:szCs w:val="24"/>
        </w:rPr>
        <w:t>,</w:t>
      </w:r>
      <w:r w:rsidRPr="009C2A8B">
        <w:rPr>
          <w:rStyle w:val="Citationintgre"/>
          <w:i w:val="0"/>
          <w:sz w:val="24"/>
          <w:szCs w:val="24"/>
        </w:rPr>
        <w:t xml:space="preserve"> appréhensions</w:t>
      </w:r>
      <w:r w:rsidR="0028575E" w:rsidRPr="009C2A8B">
        <w:rPr>
          <w:rStyle w:val="Citationintgre"/>
          <w:i w:val="0"/>
          <w:sz w:val="24"/>
          <w:szCs w:val="24"/>
        </w:rPr>
        <w:t xml:space="preserve"> ou « </w:t>
      </w:r>
      <w:r w:rsidR="00D128AF">
        <w:rPr>
          <w:szCs w:val="24"/>
        </w:rPr>
        <w:t>la possibilité </w:t>
      </w:r>
      <w:r w:rsidR="0028575E" w:rsidRPr="009C2A8B">
        <w:rPr>
          <w:szCs w:val="24"/>
        </w:rPr>
        <w:t>»</w:t>
      </w:r>
      <w:r w:rsidR="0028575E">
        <w:t xml:space="preserve"> </w:t>
      </w:r>
      <w:r w:rsidR="0028575E" w:rsidRPr="008150FB">
        <w:t>de la survenance d’un danger</w:t>
      </w:r>
      <w:r w:rsidR="0028575E">
        <w:rPr>
          <w:rStyle w:val="Appelnotedebasdep"/>
        </w:rPr>
        <w:footnoteReference w:id="11"/>
      </w:r>
      <w:r w:rsidR="0028575E" w:rsidRPr="008150FB">
        <w:t>.</w:t>
      </w:r>
      <w:r w:rsidR="002C74FB">
        <w:t xml:space="preserve"> </w:t>
      </w:r>
    </w:p>
    <w:p w14:paraId="3224B075" w14:textId="045F9DF8" w:rsidR="00206FB3" w:rsidRPr="0032138E" w:rsidRDefault="00206FB3" w:rsidP="00B519AF">
      <w:pPr>
        <w:pStyle w:val="corpsdedcision"/>
        <w:spacing w:after="240"/>
      </w:pPr>
      <w:r>
        <w:lastRenderedPageBreak/>
        <w:t>En matière de fourniture électrique, le Conseil des services essentiels considère</w:t>
      </w:r>
      <w:r w:rsidR="002A2072">
        <w:t xml:space="preserve"> la</w:t>
      </w:r>
      <w:r w:rsidR="00B519AF">
        <w:t xml:space="preserve"> </w:t>
      </w:r>
      <w:r>
        <w:t xml:space="preserve">continuité du service </w:t>
      </w:r>
      <w:r w:rsidR="002A2072">
        <w:t>d’Hydro-Québec comme un service essentiel</w:t>
      </w:r>
      <w:r w:rsidR="002A2072">
        <w:rPr>
          <w:rStyle w:val="Appelnotedebasdep"/>
        </w:rPr>
        <w:footnoteReference w:id="12"/>
      </w:r>
      <w:r w:rsidR="002A2072">
        <w:t xml:space="preserve">. </w:t>
      </w:r>
      <w:r>
        <w:t>I</w:t>
      </w:r>
      <w:r w:rsidR="002A2072">
        <w:t>l écrit :</w:t>
      </w:r>
    </w:p>
    <w:p w14:paraId="3B9ED4F4" w14:textId="763C74EE" w:rsidR="00206FB3" w:rsidRDefault="00206FB3" w:rsidP="00B519AF">
      <w:pPr>
        <w:pStyle w:val="citation"/>
        <w:spacing w:after="120"/>
      </w:pPr>
      <w:r w:rsidRPr="002A2072">
        <w:t>Il est bien évident que nous donnons notre aval à l'accord des parties sur la continuité de la fourniture électrique.</w:t>
      </w:r>
      <w:r>
        <w:t xml:space="preserve"> Dans notre société fortement urbanisée, moderne, industrialisée où les hivers sont rigoureux, nous sommes tous fortement dépendants de l'électricité pour la satisfaction adéquate de besoins primaires tels le logement, la nourriture, la santé, le chauffage et aussi pour la sécurité des individus.  </w:t>
      </w:r>
    </w:p>
    <w:p w14:paraId="0E6F08B9" w14:textId="7D660481" w:rsidR="00206FB3" w:rsidRDefault="00206FB3" w:rsidP="00B519AF">
      <w:pPr>
        <w:pStyle w:val="citation"/>
        <w:spacing w:after="120"/>
      </w:pPr>
      <w:r>
        <w:t>Toutefois, bon an mal an, il y a des pannes, des interruptions de service, annoncées ou non.  Lorsque ces événements sont de courte durée, même par grand froid, il n'en résulte pour la majorité des citoyens que d</w:t>
      </w:r>
      <w:r w:rsidR="003D0145">
        <w:t>es inconvénients.</w:t>
      </w:r>
      <w:r>
        <w:t xml:space="preserve"> </w:t>
      </w:r>
      <w:r w:rsidRPr="0093066E">
        <w:rPr>
          <w:u w:val="single"/>
        </w:rPr>
        <w:t>Si l'interruption se prolonge, les inconvénients peuvent facilement devenir des dangers entre autres pour les malades et les gens âgés.</w:t>
      </w:r>
      <w:r>
        <w:t xml:space="preserve"> </w:t>
      </w:r>
    </w:p>
    <w:p w14:paraId="4057FF36" w14:textId="633BDDE0" w:rsidR="0093066E" w:rsidRPr="00AE36B4" w:rsidRDefault="0093066E" w:rsidP="00B519AF">
      <w:pPr>
        <w:pStyle w:val="citation"/>
        <w:spacing w:after="360"/>
        <w:rPr>
          <w:sz w:val="24"/>
        </w:rPr>
      </w:pPr>
      <w:r w:rsidRPr="00AE36B4">
        <w:rPr>
          <w:sz w:val="24"/>
        </w:rPr>
        <w:t>[Notre soulignement]</w:t>
      </w:r>
    </w:p>
    <w:p w14:paraId="0AE687B9" w14:textId="77777777" w:rsidR="00206FB3" w:rsidRPr="00ED6475" w:rsidRDefault="002A2072" w:rsidP="00846AC7">
      <w:pPr>
        <w:pStyle w:val="corpsdedcision"/>
        <w:rPr>
          <w:color w:val="000000" w:themeColor="text1"/>
        </w:rPr>
      </w:pPr>
      <w:r w:rsidRPr="00ED6475">
        <w:rPr>
          <w:color w:val="000000" w:themeColor="text1"/>
        </w:rPr>
        <w:t>Cela n’est pas remis en question.</w:t>
      </w:r>
      <w:r w:rsidR="00ED6475" w:rsidRPr="00ED6475">
        <w:rPr>
          <w:color w:val="000000" w:themeColor="text1"/>
        </w:rPr>
        <w:t xml:space="preserve"> De même, nul ne conteste que la grève des salariés </w:t>
      </w:r>
      <w:proofErr w:type="gramStart"/>
      <w:r w:rsidR="00ED6475" w:rsidRPr="00ED6475">
        <w:rPr>
          <w:color w:val="000000" w:themeColor="text1"/>
        </w:rPr>
        <w:t>entraine</w:t>
      </w:r>
      <w:r w:rsidR="0093066E">
        <w:rPr>
          <w:color w:val="000000" w:themeColor="text1"/>
        </w:rPr>
        <w:t>ra</w:t>
      </w:r>
      <w:proofErr w:type="gramEnd"/>
      <w:r w:rsidR="00ED6475" w:rsidRPr="00ED6475">
        <w:rPr>
          <w:color w:val="000000" w:themeColor="text1"/>
        </w:rPr>
        <w:t xml:space="preserve"> l’interruption des activités de la centrale thermique. </w:t>
      </w:r>
      <w:r w:rsidR="0093066E">
        <w:rPr>
          <w:color w:val="000000" w:themeColor="text1"/>
        </w:rPr>
        <w:t>Mais cela peut-il mettre en danger la santé ou la sécurité publique?</w:t>
      </w:r>
    </w:p>
    <w:p w14:paraId="48F17429" w14:textId="39A9A4F3" w:rsidR="00177401" w:rsidRPr="00707C38" w:rsidRDefault="0093066E" w:rsidP="00AE36B4">
      <w:pPr>
        <w:pStyle w:val="corpsdedcision"/>
        <w:spacing w:after="240"/>
        <w:rPr>
          <w:color w:val="000000" w:themeColor="text1"/>
        </w:rPr>
      </w:pPr>
      <w:r>
        <w:t>L</w:t>
      </w:r>
      <w:r w:rsidR="00707C38">
        <w:t xml:space="preserve">e Tribunal retient ce qui suit des observations, </w:t>
      </w:r>
      <w:r w:rsidR="00123BA8">
        <w:t>documents</w:t>
      </w:r>
      <w:r w:rsidR="003D0145">
        <w:t xml:space="preserve"> et</w:t>
      </w:r>
      <w:r w:rsidR="00766B6D">
        <w:t xml:space="preserve"> déclarations assermentées</w:t>
      </w:r>
      <w:r w:rsidR="006D2930">
        <w:t xml:space="preserve"> </w:t>
      </w:r>
      <w:r w:rsidR="003D0145">
        <w:rPr>
          <w:color w:val="000000" w:themeColor="text1"/>
        </w:rPr>
        <w:t>déposés</w:t>
      </w:r>
      <w:r w:rsidR="003D0145" w:rsidRPr="00707C38">
        <w:rPr>
          <w:color w:val="000000" w:themeColor="text1"/>
        </w:rPr>
        <w:t xml:space="preserve"> </w:t>
      </w:r>
      <w:r w:rsidR="00766B6D" w:rsidRPr="00707C38">
        <w:rPr>
          <w:color w:val="000000" w:themeColor="text1"/>
        </w:rPr>
        <w:t>par les parties</w:t>
      </w:r>
      <w:r w:rsidR="00123BA8" w:rsidRPr="00707C38">
        <w:rPr>
          <w:color w:val="000000" w:themeColor="text1"/>
        </w:rPr>
        <w:t> :</w:t>
      </w:r>
    </w:p>
    <w:p w14:paraId="72022C52" w14:textId="3C29DCFD" w:rsidR="00C5734F" w:rsidRDefault="00C5734F" w:rsidP="00AE36B4">
      <w:pPr>
        <w:pStyle w:val="corpsdedcision"/>
        <w:numPr>
          <w:ilvl w:val="1"/>
          <w:numId w:val="1"/>
        </w:numPr>
        <w:tabs>
          <w:tab w:val="clear" w:pos="1080"/>
        </w:tabs>
        <w:spacing w:after="240"/>
        <w:ind w:left="993" w:hanging="284"/>
        <w:rPr>
          <w:color w:val="000000" w:themeColor="text1"/>
        </w:rPr>
      </w:pPr>
      <w:r>
        <w:rPr>
          <w:color w:val="000000" w:themeColor="text1"/>
        </w:rPr>
        <w:t>L’entreprise produit de l’électricité à partir de biomasse traitée dans une centrale thermique située à Senneterre</w:t>
      </w:r>
      <w:r w:rsidR="003D0145">
        <w:rPr>
          <w:color w:val="000000" w:themeColor="text1"/>
        </w:rPr>
        <w:t>;</w:t>
      </w:r>
    </w:p>
    <w:p w14:paraId="586B476A" w14:textId="2D0FA02A" w:rsidR="00C5734F" w:rsidRPr="00C5734F" w:rsidRDefault="00C5734F" w:rsidP="00AE36B4">
      <w:pPr>
        <w:pStyle w:val="corpsdedcision"/>
        <w:numPr>
          <w:ilvl w:val="1"/>
          <w:numId w:val="1"/>
        </w:numPr>
        <w:tabs>
          <w:tab w:val="clear" w:pos="1080"/>
        </w:tabs>
        <w:spacing w:after="240"/>
        <w:ind w:left="993" w:hanging="284"/>
        <w:rPr>
          <w:color w:val="000000" w:themeColor="text1"/>
        </w:rPr>
      </w:pPr>
      <w:r>
        <w:rPr>
          <w:color w:val="000000" w:themeColor="text1"/>
        </w:rPr>
        <w:t>Cette électricité est vendue à Hydro-Québec qui la distribue selon les besoin</w:t>
      </w:r>
      <w:r w:rsidR="006D2930">
        <w:rPr>
          <w:color w:val="000000" w:themeColor="text1"/>
        </w:rPr>
        <w:t>s</w:t>
      </w:r>
      <w:r>
        <w:rPr>
          <w:color w:val="000000" w:themeColor="text1"/>
        </w:rPr>
        <w:t xml:space="preserve"> de la population</w:t>
      </w:r>
      <w:r w:rsidR="00B71D2B" w:rsidRPr="00B71D2B">
        <w:t xml:space="preserve"> </w:t>
      </w:r>
      <w:r w:rsidR="00B71D2B">
        <w:t xml:space="preserve">en vertu d’un contrat </w:t>
      </w:r>
      <w:r w:rsidR="00B71D2B" w:rsidRPr="00AE36B4">
        <w:rPr>
          <w:color w:val="000000" w:themeColor="text1"/>
        </w:rPr>
        <w:t>d’achat</w:t>
      </w:r>
      <w:r w:rsidR="00B71D2B">
        <w:t xml:space="preserve"> d’électricité</w:t>
      </w:r>
      <w:r w:rsidR="00B71D2B">
        <w:rPr>
          <w:rStyle w:val="Appelnotedebasdep"/>
        </w:rPr>
        <w:footnoteReference w:id="13"/>
      </w:r>
      <w:r w:rsidR="003D0145">
        <w:t>;</w:t>
      </w:r>
    </w:p>
    <w:p w14:paraId="269F90A4" w14:textId="4B804552" w:rsidR="003F6F03" w:rsidRPr="003F6F03" w:rsidRDefault="003F6F03" w:rsidP="00AE36B4">
      <w:pPr>
        <w:pStyle w:val="corpsdedcision"/>
        <w:numPr>
          <w:ilvl w:val="1"/>
          <w:numId w:val="1"/>
        </w:numPr>
        <w:tabs>
          <w:tab w:val="clear" w:pos="1080"/>
        </w:tabs>
        <w:spacing w:after="240"/>
        <w:ind w:left="993" w:hanging="284"/>
        <w:rPr>
          <w:color w:val="000000" w:themeColor="text1"/>
        </w:rPr>
      </w:pPr>
      <w:r>
        <w:t xml:space="preserve">L’alimentation de la ville de Senneterre en électricité est </w:t>
      </w:r>
      <w:r w:rsidR="0093066E">
        <w:t xml:space="preserve">donc </w:t>
      </w:r>
      <w:r>
        <w:t xml:space="preserve">assurée par le réseau de distribution </w:t>
      </w:r>
      <w:r w:rsidRPr="00AE36B4">
        <w:rPr>
          <w:color w:val="000000" w:themeColor="text1"/>
        </w:rPr>
        <w:t>d’Hydro</w:t>
      </w:r>
      <w:r>
        <w:t>-Québec</w:t>
      </w:r>
      <w:r w:rsidR="00211A73">
        <w:t>;</w:t>
      </w:r>
    </w:p>
    <w:p w14:paraId="527CA2F7" w14:textId="360A4FDD" w:rsidR="00766B6D" w:rsidRPr="00501059" w:rsidRDefault="0093066E" w:rsidP="00AE36B4">
      <w:pPr>
        <w:pStyle w:val="corpsdedcision"/>
        <w:numPr>
          <w:ilvl w:val="1"/>
          <w:numId w:val="1"/>
        </w:numPr>
        <w:tabs>
          <w:tab w:val="clear" w:pos="1080"/>
        </w:tabs>
        <w:spacing w:after="240"/>
        <w:ind w:left="993" w:hanging="284"/>
        <w:rPr>
          <w:color w:val="000000" w:themeColor="text1"/>
        </w:rPr>
      </w:pPr>
      <w:r>
        <w:rPr>
          <w:color w:val="000000" w:themeColor="text1"/>
        </w:rPr>
        <w:t>C</w:t>
      </w:r>
      <w:r w:rsidRPr="00501059">
        <w:rPr>
          <w:color w:val="000000" w:themeColor="text1"/>
        </w:rPr>
        <w:t>haque année</w:t>
      </w:r>
      <w:r>
        <w:rPr>
          <w:color w:val="000000" w:themeColor="text1"/>
        </w:rPr>
        <w:t>,</w:t>
      </w:r>
      <w:r w:rsidRPr="00501059">
        <w:rPr>
          <w:color w:val="000000" w:themeColor="text1"/>
        </w:rPr>
        <w:t xml:space="preserve"> </w:t>
      </w:r>
      <w:r>
        <w:rPr>
          <w:color w:val="000000" w:themeColor="text1"/>
        </w:rPr>
        <w:t>s</w:t>
      </w:r>
      <w:r w:rsidR="00123BA8" w:rsidRPr="00501059">
        <w:rPr>
          <w:color w:val="000000" w:themeColor="text1"/>
        </w:rPr>
        <w:t>es livraisons d’énergie sont suspendues du 1</w:t>
      </w:r>
      <w:r w:rsidR="00123BA8" w:rsidRPr="00501059">
        <w:rPr>
          <w:color w:val="000000" w:themeColor="text1"/>
          <w:vertAlign w:val="superscript"/>
        </w:rPr>
        <w:t>er</w:t>
      </w:r>
      <w:r w:rsidR="00123BA8" w:rsidRPr="00501059">
        <w:rPr>
          <w:color w:val="000000" w:themeColor="text1"/>
        </w:rPr>
        <w:t xml:space="preserve"> avril au 31 mai et du 1</w:t>
      </w:r>
      <w:r w:rsidR="00123BA8" w:rsidRPr="00501059">
        <w:rPr>
          <w:color w:val="000000" w:themeColor="text1"/>
          <w:vertAlign w:val="superscript"/>
        </w:rPr>
        <w:t>er</w:t>
      </w:r>
      <w:r w:rsidR="00123BA8" w:rsidRPr="00501059">
        <w:rPr>
          <w:color w:val="000000" w:themeColor="text1"/>
        </w:rPr>
        <w:t xml:space="preserve"> octobre au 30 novembre</w:t>
      </w:r>
      <w:r w:rsidR="00123BA8" w:rsidRPr="00501059">
        <w:rPr>
          <w:rStyle w:val="Appelnotedebasdep"/>
          <w:color w:val="000000" w:themeColor="text1"/>
        </w:rPr>
        <w:footnoteReference w:id="14"/>
      </w:r>
      <w:r w:rsidR="00123BA8" w:rsidRPr="00501059">
        <w:rPr>
          <w:color w:val="000000" w:themeColor="text1"/>
        </w:rPr>
        <w:t>.</w:t>
      </w:r>
      <w:r w:rsidR="00501059">
        <w:rPr>
          <w:color w:val="000000" w:themeColor="text1"/>
        </w:rPr>
        <w:t xml:space="preserve"> </w:t>
      </w:r>
      <w:r w:rsidRPr="00501059">
        <w:rPr>
          <w:color w:val="000000" w:themeColor="text1"/>
        </w:rPr>
        <w:t xml:space="preserve">L’employeur doit aviser Hydro-Québec par écrit au moins une semaine avant </w:t>
      </w:r>
      <w:r>
        <w:rPr>
          <w:color w:val="000000" w:themeColor="text1"/>
        </w:rPr>
        <w:t xml:space="preserve">de procéder à </w:t>
      </w:r>
      <w:r w:rsidRPr="00501059">
        <w:rPr>
          <w:color w:val="000000" w:themeColor="text1"/>
        </w:rPr>
        <w:t>un arrêt planifié</w:t>
      </w:r>
      <w:r w:rsidR="00AE36B4">
        <w:rPr>
          <w:rStyle w:val="Appelnotedebasdep"/>
          <w:color w:val="000000" w:themeColor="text1"/>
        </w:rPr>
        <w:footnoteReference w:id="15"/>
      </w:r>
      <w:r w:rsidRPr="00501059">
        <w:rPr>
          <w:color w:val="000000" w:themeColor="text1"/>
        </w:rPr>
        <w:t xml:space="preserve">. </w:t>
      </w:r>
      <w:r>
        <w:rPr>
          <w:color w:val="000000" w:themeColor="text1"/>
        </w:rPr>
        <w:t>P</w:t>
      </w:r>
      <w:r w:rsidR="006758F5">
        <w:rPr>
          <w:color w:val="000000" w:themeColor="text1"/>
        </w:rPr>
        <w:t xml:space="preserve">endant </w:t>
      </w:r>
      <w:r>
        <w:rPr>
          <w:color w:val="000000" w:themeColor="text1"/>
        </w:rPr>
        <w:t>ces</w:t>
      </w:r>
      <w:r w:rsidR="006758F5">
        <w:rPr>
          <w:color w:val="000000" w:themeColor="text1"/>
        </w:rPr>
        <w:t xml:space="preserve"> </w:t>
      </w:r>
      <w:r w:rsidR="006758F5">
        <w:rPr>
          <w:color w:val="000000" w:themeColor="text1"/>
        </w:rPr>
        <w:lastRenderedPageBreak/>
        <w:t>suspension</w:t>
      </w:r>
      <w:r>
        <w:rPr>
          <w:color w:val="000000" w:themeColor="text1"/>
        </w:rPr>
        <w:t>s</w:t>
      </w:r>
      <w:r w:rsidR="006758F5">
        <w:rPr>
          <w:color w:val="000000" w:themeColor="text1"/>
        </w:rPr>
        <w:t xml:space="preserve">, </w:t>
      </w:r>
      <w:r>
        <w:rPr>
          <w:color w:val="000000" w:themeColor="text1"/>
        </w:rPr>
        <w:t>l’employeur interrompt</w:t>
      </w:r>
      <w:r w:rsidR="006758F5">
        <w:rPr>
          <w:color w:val="000000" w:themeColor="text1"/>
        </w:rPr>
        <w:t xml:space="preserve"> </w:t>
      </w:r>
      <w:r w:rsidR="006758F5" w:rsidRPr="00501059">
        <w:rPr>
          <w:color w:val="000000" w:themeColor="text1"/>
        </w:rPr>
        <w:t xml:space="preserve">la production d’énergie pour effectuer des travaux de </w:t>
      </w:r>
      <w:r>
        <w:rPr>
          <w:color w:val="000000" w:themeColor="text1"/>
        </w:rPr>
        <w:t>maintenance</w:t>
      </w:r>
      <w:r w:rsidR="006758F5" w:rsidRPr="00501059">
        <w:rPr>
          <w:rStyle w:val="Appelnotedebasdep"/>
          <w:color w:val="000000" w:themeColor="text1"/>
        </w:rPr>
        <w:footnoteReference w:id="16"/>
      </w:r>
      <w:r w:rsidR="00211A73">
        <w:rPr>
          <w:color w:val="000000" w:themeColor="text1"/>
        </w:rPr>
        <w:t>;</w:t>
      </w:r>
      <w:r w:rsidR="00766B6D" w:rsidRPr="00501059">
        <w:rPr>
          <w:color w:val="000000" w:themeColor="text1"/>
        </w:rPr>
        <w:t xml:space="preserve"> </w:t>
      </w:r>
    </w:p>
    <w:p w14:paraId="1284D133" w14:textId="44A6A13C" w:rsidR="00B71D2B" w:rsidRDefault="00B71D2B" w:rsidP="00AE36B4">
      <w:pPr>
        <w:pStyle w:val="corpsdedcision"/>
        <w:numPr>
          <w:ilvl w:val="1"/>
          <w:numId w:val="1"/>
        </w:numPr>
        <w:tabs>
          <w:tab w:val="clear" w:pos="1080"/>
        </w:tabs>
        <w:spacing w:after="240"/>
        <w:ind w:left="993" w:hanging="284"/>
      </w:pPr>
      <w:r>
        <w:t xml:space="preserve">Ces </w:t>
      </w:r>
      <w:r w:rsidR="00F91A11">
        <w:t>suspension</w:t>
      </w:r>
      <w:r>
        <w:t>s de</w:t>
      </w:r>
      <w:r w:rsidR="00F91A11">
        <w:t xml:space="preserve"> livraison </w:t>
      </w:r>
      <w:r>
        <w:t>sont</w:t>
      </w:r>
      <w:r w:rsidR="00B747FF">
        <w:t xml:space="preserve"> parfois</w:t>
      </w:r>
      <w:r w:rsidR="00F91A11">
        <w:t xml:space="preserve"> </w:t>
      </w:r>
      <w:r w:rsidR="003E2203">
        <w:t>devancée</w:t>
      </w:r>
      <w:r>
        <w:t>s</w:t>
      </w:r>
      <w:r w:rsidR="003E2203">
        <w:t xml:space="preserve"> ou </w:t>
      </w:r>
      <w:r w:rsidR="00F91A11">
        <w:t>prolongée</w:t>
      </w:r>
      <w:r>
        <w:t>s</w:t>
      </w:r>
      <w:r w:rsidR="00F91A11">
        <w:t xml:space="preserve"> en raison de bris d’équipement </w:t>
      </w:r>
      <w:r w:rsidR="003E2203">
        <w:t xml:space="preserve">ou de manque </w:t>
      </w:r>
      <w:r>
        <w:t>de matière combustible</w:t>
      </w:r>
      <w:r w:rsidR="003E2203">
        <w:t xml:space="preserve"> permettant d’alimenter la </w:t>
      </w:r>
      <w:r w:rsidR="003E2203" w:rsidRPr="00AE36B4">
        <w:rPr>
          <w:color w:val="000000" w:themeColor="text1"/>
        </w:rPr>
        <w:t>centrale</w:t>
      </w:r>
      <w:r w:rsidR="00AE36B4">
        <w:rPr>
          <w:rStyle w:val="Appelnotedebasdep"/>
          <w:color w:val="000000" w:themeColor="text1"/>
        </w:rPr>
        <w:footnoteReference w:id="17"/>
      </w:r>
      <w:r w:rsidR="00211A73">
        <w:t>;</w:t>
      </w:r>
      <w:r w:rsidR="003E2203">
        <w:t xml:space="preserve"> </w:t>
      </w:r>
    </w:p>
    <w:p w14:paraId="0C5A417C" w14:textId="47844D5E" w:rsidR="00F91A11" w:rsidRDefault="00B71D2B" w:rsidP="00AE36B4">
      <w:pPr>
        <w:pStyle w:val="corpsdedcision"/>
        <w:numPr>
          <w:ilvl w:val="1"/>
          <w:numId w:val="1"/>
        </w:numPr>
        <w:tabs>
          <w:tab w:val="clear" w:pos="1080"/>
        </w:tabs>
        <w:spacing w:after="240"/>
        <w:ind w:left="993" w:hanging="284"/>
      </w:pPr>
      <w:r>
        <w:t>En plus de ces suspensions,</w:t>
      </w:r>
      <w:r w:rsidR="00501059">
        <w:t xml:space="preserve"> l</w:t>
      </w:r>
      <w:r w:rsidR="00F91A11">
        <w:t xml:space="preserve">’employeur interrompt les activités de la centrale </w:t>
      </w:r>
      <w:r w:rsidR="00C43554">
        <w:t>en moyenne</w:t>
      </w:r>
      <w:r w:rsidR="00F91A11">
        <w:t xml:space="preserve"> six </w:t>
      </w:r>
      <w:r w:rsidR="00B747FF" w:rsidRPr="00AE36B4">
        <w:rPr>
          <w:color w:val="000000" w:themeColor="text1"/>
        </w:rPr>
        <w:t>fois</w:t>
      </w:r>
      <w:r w:rsidR="00B747FF">
        <w:t xml:space="preserve"> par an</w:t>
      </w:r>
      <w:r w:rsidR="00F91A11">
        <w:rPr>
          <w:rStyle w:val="Appelnotedebasdep"/>
        </w:rPr>
        <w:footnoteReference w:id="18"/>
      </w:r>
      <w:r w:rsidR="00C43554">
        <w:t xml:space="preserve">, </w:t>
      </w:r>
      <w:r w:rsidR="00B80951">
        <w:t>à cause de bris</w:t>
      </w:r>
      <w:r w:rsidR="00211A73">
        <w:t>;</w:t>
      </w:r>
      <w:r w:rsidR="00F91A11">
        <w:t xml:space="preserve"> </w:t>
      </w:r>
    </w:p>
    <w:p w14:paraId="6F7806CC" w14:textId="0F3601AA" w:rsidR="00C43554" w:rsidRPr="00AE36B4" w:rsidRDefault="00501059" w:rsidP="00AE36B4">
      <w:pPr>
        <w:pStyle w:val="corpsdedcision"/>
        <w:numPr>
          <w:ilvl w:val="1"/>
          <w:numId w:val="1"/>
        </w:numPr>
        <w:tabs>
          <w:tab w:val="clear" w:pos="1080"/>
        </w:tabs>
        <w:spacing w:after="240"/>
        <w:ind w:left="993" w:hanging="284"/>
        <w:rPr>
          <w:b/>
          <w:bCs/>
          <w:color w:val="000000" w:themeColor="text1"/>
          <w:szCs w:val="24"/>
        </w:rPr>
      </w:pPr>
      <w:r w:rsidRPr="005F4E64">
        <w:rPr>
          <w:color w:val="000000" w:themeColor="text1"/>
          <w:szCs w:val="24"/>
        </w:rPr>
        <w:t xml:space="preserve">Les </w:t>
      </w:r>
      <w:r w:rsidRPr="00B71D2B">
        <w:rPr>
          <w:iCs/>
          <w:color w:val="000000" w:themeColor="text1"/>
          <w:szCs w:val="24"/>
        </w:rPr>
        <w:t xml:space="preserve">installations </w:t>
      </w:r>
      <w:r w:rsidR="00B71D2B" w:rsidRPr="00B71D2B">
        <w:rPr>
          <w:iCs/>
          <w:color w:val="000000" w:themeColor="text1"/>
          <w:szCs w:val="24"/>
        </w:rPr>
        <w:t>de la centrale</w:t>
      </w:r>
      <w:r w:rsidR="00B71D2B">
        <w:rPr>
          <w:i/>
          <w:iCs/>
          <w:color w:val="000000" w:themeColor="text1"/>
          <w:szCs w:val="24"/>
        </w:rPr>
        <w:t xml:space="preserve"> </w:t>
      </w:r>
      <w:r w:rsidRPr="005F4E64">
        <w:rPr>
          <w:color w:val="000000" w:themeColor="text1"/>
          <w:szCs w:val="24"/>
        </w:rPr>
        <w:t xml:space="preserve">sont conçues </w:t>
      </w:r>
      <w:r w:rsidR="00C43554">
        <w:rPr>
          <w:color w:val="000000" w:themeColor="text1"/>
          <w:szCs w:val="24"/>
        </w:rPr>
        <w:t>pour</w:t>
      </w:r>
      <w:r w:rsidRPr="005F4E64">
        <w:rPr>
          <w:color w:val="000000" w:themeColor="text1"/>
          <w:szCs w:val="24"/>
        </w:rPr>
        <w:t xml:space="preserve"> fonctionner </w:t>
      </w:r>
      <w:r w:rsidRPr="00707C38">
        <w:rPr>
          <w:color w:val="000000" w:themeColor="text1"/>
          <w:szCs w:val="24"/>
        </w:rPr>
        <w:t xml:space="preserve">occasionnellement </w:t>
      </w:r>
      <w:r w:rsidRPr="00211A73">
        <w:rPr>
          <w:color w:val="000000" w:themeColor="text1"/>
          <w:szCs w:val="24"/>
        </w:rPr>
        <w:t>en mode îloté</w:t>
      </w:r>
      <w:r w:rsidRPr="00707C38">
        <w:rPr>
          <w:color w:val="000000" w:themeColor="text1"/>
          <w:szCs w:val="24"/>
        </w:rPr>
        <w:t xml:space="preserve"> sur une partie des charges d'Hydro</w:t>
      </w:r>
      <w:r w:rsidR="00C43554">
        <w:rPr>
          <w:color w:val="000000" w:themeColor="text1"/>
          <w:szCs w:val="24"/>
        </w:rPr>
        <w:t>,</w:t>
      </w:r>
      <w:r w:rsidRPr="00707C38">
        <w:rPr>
          <w:color w:val="000000" w:themeColor="text1"/>
          <w:szCs w:val="24"/>
        </w:rPr>
        <w:t xml:space="preserve"> </w:t>
      </w:r>
      <w:r w:rsidRPr="00C43554">
        <w:rPr>
          <w:color w:val="000000" w:themeColor="text1"/>
          <w:szCs w:val="24"/>
        </w:rPr>
        <w:t>notamment lors de l'entretien de la ligne à 120 kV alimentant le poste</w:t>
      </w:r>
      <w:r w:rsidR="006D2930">
        <w:rPr>
          <w:color w:val="000000" w:themeColor="text1"/>
          <w:szCs w:val="24"/>
        </w:rPr>
        <w:t xml:space="preserve"> de</w:t>
      </w:r>
      <w:r w:rsidRPr="00C43554">
        <w:rPr>
          <w:color w:val="000000" w:themeColor="text1"/>
          <w:szCs w:val="24"/>
        </w:rPr>
        <w:t xml:space="preserve"> Senneterre</w:t>
      </w:r>
      <w:r w:rsidRPr="005F4E64">
        <w:rPr>
          <w:rStyle w:val="Appelnotedebasdep"/>
          <w:color w:val="000000" w:themeColor="text1"/>
          <w:szCs w:val="24"/>
        </w:rPr>
        <w:footnoteReference w:id="19"/>
      </w:r>
      <w:r w:rsidR="00211A73">
        <w:rPr>
          <w:color w:val="000000" w:themeColor="text1"/>
          <w:szCs w:val="24"/>
        </w:rPr>
        <w:t>;</w:t>
      </w:r>
    </w:p>
    <w:p w14:paraId="6AA9A33D" w14:textId="1BFD8617" w:rsidR="00B71D2B" w:rsidRPr="00580D80" w:rsidRDefault="00C43554" w:rsidP="00AE36B4">
      <w:pPr>
        <w:pStyle w:val="corpsdedcision"/>
        <w:numPr>
          <w:ilvl w:val="1"/>
          <w:numId w:val="1"/>
        </w:numPr>
        <w:tabs>
          <w:tab w:val="clear" w:pos="1080"/>
        </w:tabs>
        <w:spacing w:after="240"/>
        <w:ind w:left="993" w:hanging="284"/>
      </w:pPr>
      <w:r w:rsidRPr="00AE36B4">
        <w:rPr>
          <w:color w:val="000000" w:themeColor="text1"/>
        </w:rPr>
        <w:t>L</w:t>
      </w:r>
      <w:r w:rsidR="00B71D2B" w:rsidRPr="00AE36B4">
        <w:rPr>
          <w:color w:val="000000" w:themeColor="text1"/>
        </w:rPr>
        <w:t>orsque</w:t>
      </w:r>
      <w:r w:rsidR="00B71D2B">
        <w:t xml:space="preserve"> son</w:t>
      </w:r>
      <w:r w:rsidR="00B71D2B" w:rsidRPr="00580D80">
        <w:t xml:space="preserve"> réseau de distribution n’est pas en mesure d’alimenter la ville de Senneterre, </w:t>
      </w:r>
      <w:r w:rsidR="00B71D2B">
        <w:t xml:space="preserve">Hydro-Québec peut demander </w:t>
      </w:r>
      <w:r w:rsidR="00B71D2B" w:rsidRPr="00580D80">
        <w:t xml:space="preserve">à l’employeur </w:t>
      </w:r>
      <w:r w:rsidR="00B71D2B">
        <w:t>de le faire</w:t>
      </w:r>
      <w:r w:rsidR="00B71D2B" w:rsidRPr="00580D80">
        <w:t xml:space="preserve"> en mode </w:t>
      </w:r>
      <w:r w:rsidR="006D2930">
        <w:t>î</w:t>
      </w:r>
      <w:r w:rsidR="00B71D2B" w:rsidRPr="00580D80">
        <w:t>l</w:t>
      </w:r>
      <w:r w:rsidR="00211A73">
        <w:t>o</w:t>
      </w:r>
      <w:r w:rsidR="00B71D2B" w:rsidRPr="00580D80">
        <w:t>té</w:t>
      </w:r>
      <w:r w:rsidR="00083F51">
        <w:t>, une</w:t>
      </w:r>
      <w:r w:rsidR="00B71D2B" w:rsidRPr="00501059">
        <w:rPr>
          <w:color w:val="000000" w:themeColor="text1"/>
        </w:rPr>
        <w:t xml:space="preserve"> procédure vis</w:t>
      </w:r>
      <w:r w:rsidR="00083F51">
        <w:rPr>
          <w:color w:val="000000" w:themeColor="text1"/>
        </w:rPr>
        <w:t>ant</w:t>
      </w:r>
      <w:r w:rsidR="00B71D2B" w:rsidRPr="00501059">
        <w:rPr>
          <w:color w:val="000000" w:themeColor="text1"/>
        </w:rPr>
        <w:t xml:space="preserve"> « </w:t>
      </w:r>
      <w:r w:rsidR="00B71D2B" w:rsidRPr="007D6CBA">
        <w:rPr>
          <w:i/>
          <w:color w:val="000000" w:themeColor="text1"/>
          <w:sz w:val="22"/>
        </w:rPr>
        <w:t>à ce que la population de la ville ne soit pas privée d’électricité</w:t>
      </w:r>
      <w:r w:rsidR="00B71D2B" w:rsidRPr="007D6CBA">
        <w:rPr>
          <w:color w:val="000000" w:themeColor="text1"/>
          <w:sz w:val="22"/>
        </w:rPr>
        <w:t> </w:t>
      </w:r>
      <w:r w:rsidR="00B71D2B" w:rsidRPr="00501059">
        <w:rPr>
          <w:color w:val="000000" w:themeColor="text1"/>
        </w:rPr>
        <w:t>»</w:t>
      </w:r>
      <w:r w:rsidR="00B71D2B" w:rsidRPr="00501059">
        <w:rPr>
          <w:rStyle w:val="Appelnotedebasdep"/>
          <w:color w:val="000000" w:themeColor="text1"/>
        </w:rPr>
        <w:t xml:space="preserve"> </w:t>
      </w:r>
      <w:r w:rsidR="00083F51">
        <w:rPr>
          <w:color w:val="000000" w:themeColor="text1"/>
        </w:rPr>
        <w:t>selon le directeur de la centrale</w:t>
      </w:r>
      <w:r w:rsidR="00083F51" w:rsidRPr="00501059">
        <w:rPr>
          <w:rStyle w:val="Appelnotedebasdep"/>
          <w:color w:val="000000" w:themeColor="text1"/>
        </w:rPr>
        <w:footnoteReference w:id="20"/>
      </w:r>
      <w:r w:rsidR="00211A73">
        <w:rPr>
          <w:color w:val="000000" w:themeColor="text1"/>
        </w:rPr>
        <w:t>;</w:t>
      </w:r>
    </w:p>
    <w:p w14:paraId="08E840FE" w14:textId="680DE3B7" w:rsidR="0071216C" w:rsidRDefault="00083F51" w:rsidP="00AE36B4">
      <w:pPr>
        <w:pStyle w:val="corpsdedcision"/>
        <w:numPr>
          <w:ilvl w:val="1"/>
          <w:numId w:val="1"/>
        </w:numPr>
        <w:tabs>
          <w:tab w:val="clear" w:pos="1080"/>
        </w:tabs>
        <w:spacing w:after="240"/>
        <w:ind w:left="993" w:hanging="284"/>
        <w:rPr>
          <w:color w:val="000000" w:themeColor="text1"/>
        </w:rPr>
      </w:pPr>
      <w:r>
        <w:rPr>
          <w:color w:val="000000" w:themeColor="text1"/>
        </w:rPr>
        <w:t>C</w:t>
      </w:r>
      <w:r w:rsidR="00FC2B26">
        <w:rPr>
          <w:color w:val="000000" w:themeColor="text1"/>
        </w:rPr>
        <w:t xml:space="preserve">ette procédure requiert que </w:t>
      </w:r>
      <w:r w:rsidR="00F91A11" w:rsidRPr="00501059">
        <w:rPr>
          <w:color w:val="000000" w:themeColor="text1"/>
        </w:rPr>
        <w:t xml:space="preserve">la centrale thermique </w:t>
      </w:r>
      <w:r w:rsidR="00FC2B26">
        <w:rPr>
          <w:color w:val="000000" w:themeColor="text1"/>
        </w:rPr>
        <w:t>soit en activité</w:t>
      </w:r>
      <w:r w:rsidR="006D2930">
        <w:rPr>
          <w:color w:val="000000" w:themeColor="text1"/>
        </w:rPr>
        <w:t>,</w:t>
      </w:r>
      <w:r w:rsidR="006758F5">
        <w:rPr>
          <w:color w:val="000000" w:themeColor="text1"/>
        </w:rPr>
        <w:t xml:space="preserve"> ce qui n’est pas le cas lors des périodes de suspension de livraison, </w:t>
      </w:r>
      <w:r w:rsidR="00A931BF">
        <w:rPr>
          <w:color w:val="000000" w:themeColor="text1"/>
        </w:rPr>
        <w:t xml:space="preserve">de bris, </w:t>
      </w:r>
      <w:r w:rsidR="006758F5">
        <w:rPr>
          <w:color w:val="000000" w:themeColor="text1"/>
        </w:rPr>
        <w:t xml:space="preserve">de </w:t>
      </w:r>
      <w:r w:rsidR="00A931BF">
        <w:rPr>
          <w:color w:val="000000" w:themeColor="text1"/>
        </w:rPr>
        <w:t>manque de combustible ou encore de grève des salariés</w:t>
      </w:r>
      <w:r w:rsidR="00211A73">
        <w:rPr>
          <w:color w:val="000000" w:themeColor="text1"/>
        </w:rPr>
        <w:t>;</w:t>
      </w:r>
    </w:p>
    <w:p w14:paraId="5111FDFB" w14:textId="77E5C8A1" w:rsidR="00A931BF" w:rsidRPr="006758F5" w:rsidRDefault="00A931BF" w:rsidP="00AE36B4">
      <w:pPr>
        <w:pStyle w:val="corpsdedcision"/>
        <w:numPr>
          <w:ilvl w:val="1"/>
          <w:numId w:val="1"/>
        </w:numPr>
        <w:tabs>
          <w:tab w:val="clear" w:pos="1080"/>
        </w:tabs>
        <w:ind w:left="993" w:hanging="284"/>
        <w:rPr>
          <w:color w:val="000000" w:themeColor="text1"/>
        </w:rPr>
      </w:pPr>
      <w:r w:rsidRPr="00AE36B4">
        <w:rPr>
          <w:color w:val="000000" w:themeColor="text1"/>
        </w:rPr>
        <w:t>Il</w:t>
      </w:r>
      <w:r w:rsidRPr="00580D80">
        <w:t xml:space="preserve"> n’existe aucune </w:t>
      </w:r>
      <w:r w:rsidR="006D2930">
        <w:t>solution de rechange</w:t>
      </w:r>
      <w:r w:rsidRPr="00580D80">
        <w:t xml:space="preserve"> </w:t>
      </w:r>
      <w:r>
        <w:t xml:space="preserve">permettant </w:t>
      </w:r>
      <w:r w:rsidRPr="00580D80">
        <w:t>de maintenir l'alimentation électrique de la</w:t>
      </w:r>
      <w:r>
        <w:t xml:space="preserve"> ville</w:t>
      </w:r>
      <w:r w:rsidRPr="00580D80">
        <w:t xml:space="preserve"> </w:t>
      </w:r>
      <w:r>
        <w:t xml:space="preserve">si </w:t>
      </w:r>
      <w:r w:rsidRPr="00580D80">
        <w:t>Hyd</w:t>
      </w:r>
      <w:r>
        <w:t>ro-Québec n’est pas en mesure de le faire pour cause de maintenance ou avarie et que les activités de la centrale thermique sont arrêtée</w:t>
      </w:r>
      <w:r w:rsidR="006D2930">
        <w:t>s</w:t>
      </w:r>
      <w:r>
        <w:t xml:space="preserve"> ou suspendues.</w:t>
      </w:r>
    </w:p>
    <w:p w14:paraId="3A495861" w14:textId="77777777" w:rsidR="002C34DD" w:rsidRDefault="00DF3027" w:rsidP="002C74FB">
      <w:pPr>
        <w:pStyle w:val="corpsdedcision"/>
      </w:pPr>
      <w:r>
        <w:t>Qu’en est-il?</w:t>
      </w:r>
    </w:p>
    <w:p w14:paraId="2AD0650B" w14:textId="454ED0EF" w:rsidR="002C74FB" w:rsidRPr="003F6F03" w:rsidRDefault="00083F51" w:rsidP="00B71D2B">
      <w:pPr>
        <w:pStyle w:val="corpsdedcision"/>
      </w:pPr>
      <w:r w:rsidRPr="002F2140">
        <w:t xml:space="preserve">Habituellement, </w:t>
      </w:r>
      <w:r w:rsidR="00164C4B" w:rsidRPr="002F2140">
        <w:t xml:space="preserve">Hydro-Québec </w:t>
      </w:r>
      <w:r w:rsidR="00160AF0" w:rsidRPr="002F2140">
        <w:rPr>
          <w:lang w:eastAsia="fr-FR"/>
        </w:rPr>
        <w:t>fourni</w:t>
      </w:r>
      <w:r w:rsidR="006D2930">
        <w:rPr>
          <w:lang w:eastAsia="fr-FR"/>
        </w:rPr>
        <w:t>t</w:t>
      </w:r>
      <w:r w:rsidR="00160AF0" w:rsidRPr="002F2140">
        <w:rPr>
          <w:lang w:eastAsia="fr-FR"/>
        </w:rPr>
        <w:t xml:space="preserve"> l’électricité à la population</w:t>
      </w:r>
      <w:r w:rsidR="00164C4B" w:rsidRPr="002F2140">
        <w:t xml:space="preserve"> de la ville de Senneterre</w:t>
      </w:r>
      <w:r w:rsidR="00B64158" w:rsidRPr="002F2140">
        <w:rPr>
          <w:lang w:eastAsia="fr-FR"/>
        </w:rPr>
        <w:t xml:space="preserve"> grâce à son </w:t>
      </w:r>
      <w:r w:rsidR="00F868F9">
        <w:rPr>
          <w:lang w:eastAsia="fr-FR"/>
        </w:rPr>
        <w:t xml:space="preserve">propre </w:t>
      </w:r>
      <w:r w:rsidR="00B64158" w:rsidRPr="002F2140">
        <w:rPr>
          <w:lang w:eastAsia="fr-FR"/>
        </w:rPr>
        <w:t>réseau</w:t>
      </w:r>
      <w:r w:rsidR="00B64158">
        <w:rPr>
          <w:lang w:eastAsia="fr-FR"/>
        </w:rPr>
        <w:t xml:space="preserve"> de distribution. </w:t>
      </w:r>
      <w:r>
        <w:rPr>
          <w:lang w:eastAsia="fr-FR"/>
        </w:rPr>
        <w:t>Selon la représentante d’Hydro</w:t>
      </w:r>
      <w:r w:rsidR="00375ED1">
        <w:rPr>
          <w:lang w:eastAsia="fr-FR"/>
        </w:rPr>
        <w:noBreakHyphen/>
      </w:r>
      <w:r>
        <w:rPr>
          <w:lang w:eastAsia="fr-FR"/>
        </w:rPr>
        <w:t>Québec, u</w:t>
      </w:r>
      <w:r w:rsidR="003F6F03">
        <w:t xml:space="preserve">ne grève des </w:t>
      </w:r>
      <w:r w:rsidR="003F6F03" w:rsidRPr="003F6F03">
        <w:t xml:space="preserve">salariés </w:t>
      </w:r>
      <w:r>
        <w:t>n’affectera pas ce service</w:t>
      </w:r>
      <w:r w:rsidR="00F868F9">
        <w:t>.</w:t>
      </w:r>
      <w:r w:rsidR="002F2140">
        <w:t xml:space="preserve"> </w:t>
      </w:r>
      <w:r w:rsidR="00F868F9">
        <w:t xml:space="preserve">Il </w:t>
      </w:r>
      <w:r w:rsidR="002F2140">
        <w:t xml:space="preserve">n’existe donc aucun danger pour la santé ou la sécurité publique </w:t>
      </w:r>
      <w:r w:rsidR="003F6F03" w:rsidRPr="003F6F03">
        <w:t>dans ce contexte</w:t>
      </w:r>
      <w:r w:rsidR="002C74FB" w:rsidRPr="003F6F03">
        <w:t>.</w:t>
      </w:r>
    </w:p>
    <w:p w14:paraId="17C12EBD" w14:textId="77777777" w:rsidR="00160AF0" w:rsidRDefault="00B64158" w:rsidP="002C34DD">
      <w:pPr>
        <w:pStyle w:val="corpsdedcision"/>
      </w:pPr>
      <w:r w:rsidRPr="002F2140">
        <w:t xml:space="preserve">Si la ligne de transmission d’Hydro-Québec </w:t>
      </w:r>
      <w:r w:rsidR="002C34DD" w:rsidRPr="002F2140">
        <w:t xml:space="preserve">alimentant le poste Senneterre </w:t>
      </w:r>
      <w:r w:rsidRPr="002F2140">
        <w:t xml:space="preserve">est mise hors fonction </w:t>
      </w:r>
      <w:r w:rsidR="00083F51" w:rsidRPr="002F2140">
        <w:t>pour effectuer une maintenance</w:t>
      </w:r>
      <w:r w:rsidRPr="002F2140">
        <w:t xml:space="preserve">, Hydro </w:t>
      </w:r>
      <w:r w:rsidR="00160AF0" w:rsidRPr="002F2140">
        <w:t>peut demander à l’employeur de fonctionner en mode îloté sur</w:t>
      </w:r>
      <w:r w:rsidR="00160AF0" w:rsidRPr="00AB46FF">
        <w:t xml:space="preserve"> une partie d</w:t>
      </w:r>
      <w:r w:rsidR="00160AF0">
        <w:t xml:space="preserve">e ses </w:t>
      </w:r>
      <w:r w:rsidR="002C34DD">
        <w:t xml:space="preserve">charges. </w:t>
      </w:r>
      <w:r w:rsidR="00083F51">
        <w:t>En</w:t>
      </w:r>
      <w:r w:rsidR="002C34DD">
        <w:t xml:space="preserve"> cas de grève des salariés,</w:t>
      </w:r>
      <w:r w:rsidR="00083F51">
        <w:t xml:space="preserve"> </w:t>
      </w:r>
      <w:r w:rsidR="00083F51">
        <w:lastRenderedPageBreak/>
        <w:t>la centrale sera à l’arrêt</w:t>
      </w:r>
      <w:r w:rsidR="006D2930">
        <w:t>. L</w:t>
      </w:r>
      <w:r w:rsidR="002C34DD">
        <w:t>’employeur</w:t>
      </w:r>
      <w:r w:rsidR="00083F51">
        <w:t xml:space="preserve"> </w:t>
      </w:r>
      <w:r w:rsidR="006D2930">
        <w:t>ne pourra</w:t>
      </w:r>
      <w:r w:rsidR="002C34DD">
        <w:t xml:space="preserve"> </w:t>
      </w:r>
      <w:r w:rsidR="00083F51">
        <w:t>fournir d’électricité à</w:t>
      </w:r>
      <w:r w:rsidR="002C34DD">
        <w:t xml:space="preserve"> la population</w:t>
      </w:r>
      <w:r w:rsidR="00083F51">
        <w:t>,</w:t>
      </w:r>
      <w:r w:rsidR="002C34DD">
        <w:t xml:space="preserve"> </w:t>
      </w:r>
      <w:r>
        <w:t>comprenons-nous</w:t>
      </w:r>
      <w:r w:rsidR="002C34DD">
        <w:t xml:space="preserve">. </w:t>
      </w:r>
    </w:p>
    <w:p w14:paraId="692AD708" w14:textId="4B6E3912" w:rsidR="00B64158" w:rsidRDefault="00C90CD7" w:rsidP="00B71D2B">
      <w:pPr>
        <w:pStyle w:val="corpsdedcision"/>
        <w:rPr>
          <w:lang w:eastAsia="fr-FR"/>
        </w:rPr>
      </w:pPr>
      <w:r>
        <w:rPr>
          <w:lang w:eastAsia="fr-FR"/>
        </w:rPr>
        <w:t xml:space="preserve">Cependant, </w:t>
      </w:r>
      <w:r w:rsidR="00F0655E">
        <w:rPr>
          <w:lang w:eastAsia="fr-FR"/>
        </w:rPr>
        <w:t xml:space="preserve">la preuve démontre que la centrale n’a pas fonctionné en mode îloté depuis au moins </w:t>
      </w:r>
      <w:r w:rsidR="00741986">
        <w:rPr>
          <w:lang w:eastAsia="fr-FR"/>
        </w:rPr>
        <w:t>dix</w:t>
      </w:r>
      <w:r w:rsidR="00F0655E">
        <w:rPr>
          <w:lang w:eastAsia="fr-FR"/>
        </w:rPr>
        <w:t xml:space="preserve"> ans, une affirmation non contredite par l’employeur. </w:t>
      </w:r>
      <w:r>
        <w:rPr>
          <w:lang w:eastAsia="fr-FR"/>
        </w:rPr>
        <w:t>Est-ce parce qu</w:t>
      </w:r>
      <w:r w:rsidR="001725A2">
        <w:rPr>
          <w:lang w:eastAsia="fr-FR"/>
        </w:rPr>
        <w:t xml:space="preserve">’aucun </w:t>
      </w:r>
      <w:r w:rsidRPr="00EF1C8E">
        <w:rPr>
          <w:color w:val="000000" w:themeColor="text1"/>
          <w:szCs w:val="24"/>
        </w:rPr>
        <w:t xml:space="preserve">entretien de la ligne à 120 kV d’Hydro </w:t>
      </w:r>
      <w:r w:rsidR="001725A2" w:rsidRPr="00EF1C8E">
        <w:rPr>
          <w:color w:val="000000" w:themeColor="text1"/>
          <w:szCs w:val="24"/>
        </w:rPr>
        <w:t>n’a été fait au co</w:t>
      </w:r>
      <w:r w:rsidR="00EF1C8E" w:rsidRPr="00EF1C8E">
        <w:rPr>
          <w:color w:val="000000" w:themeColor="text1"/>
          <w:szCs w:val="24"/>
        </w:rPr>
        <w:t xml:space="preserve">urs de la dernière décennie, </w:t>
      </w:r>
      <w:r w:rsidR="001725A2" w:rsidRPr="00EF1C8E">
        <w:rPr>
          <w:color w:val="000000" w:themeColor="text1"/>
          <w:szCs w:val="24"/>
        </w:rPr>
        <w:t xml:space="preserve">parce que ces entretiens </w:t>
      </w:r>
      <w:r w:rsidR="00F0655E">
        <w:rPr>
          <w:color w:val="000000" w:themeColor="text1"/>
          <w:szCs w:val="24"/>
        </w:rPr>
        <w:t>ne nécessitent pas</w:t>
      </w:r>
      <w:r w:rsidRPr="00EF1C8E">
        <w:rPr>
          <w:color w:val="000000" w:themeColor="text1"/>
          <w:szCs w:val="24"/>
        </w:rPr>
        <w:t xml:space="preserve"> l’interruption de la distribution d’électricité ou</w:t>
      </w:r>
      <w:r w:rsidR="001725A2" w:rsidRPr="00EF1C8E">
        <w:rPr>
          <w:color w:val="000000" w:themeColor="text1"/>
          <w:szCs w:val="24"/>
        </w:rPr>
        <w:t xml:space="preserve"> encore</w:t>
      </w:r>
      <w:r w:rsidR="00F0655E">
        <w:rPr>
          <w:color w:val="000000" w:themeColor="text1"/>
          <w:szCs w:val="24"/>
        </w:rPr>
        <w:t xml:space="preserve"> parce qu’Hydro-Québec a simplement coupé le courant sans avoir recours à l’employeur? </w:t>
      </w:r>
      <w:r w:rsidRPr="00EF1C8E">
        <w:rPr>
          <w:color w:val="000000" w:themeColor="text1"/>
          <w:szCs w:val="24"/>
        </w:rPr>
        <w:t>Aucune explication n’est fournie au Tribunal à cet égard par l’une ou l’autre des parties.</w:t>
      </w:r>
    </w:p>
    <w:p w14:paraId="2B884DF6" w14:textId="5E9033D1" w:rsidR="001725A2" w:rsidRDefault="00F0655E" w:rsidP="00B71D2B">
      <w:pPr>
        <w:pStyle w:val="corpsdedcision"/>
        <w:rPr>
          <w:lang w:eastAsia="fr-FR"/>
        </w:rPr>
      </w:pPr>
      <w:r>
        <w:rPr>
          <w:lang w:eastAsia="fr-FR"/>
        </w:rPr>
        <w:t>Quel que soit le motif, il faut conclure</w:t>
      </w:r>
      <w:r w:rsidR="00F868F9">
        <w:rPr>
          <w:lang w:eastAsia="fr-FR"/>
        </w:rPr>
        <w:t xml:space="preserve">, </w:t>
      </w:r>
      <w:r w:rsidR="00DE13A4">
        <w:rPr>
          <w:lang w:eastAsia="fr-FR"/>
        </w:rPr>
        <w:t>à</w:t>
      </w:r>
      <w:r w:rsidR="00F868F9">
        <w:rPr>
          <w:lang w:eastAsia="fr-FR"/>
        </w:rPr>
        <w:t xml:space="preserve"> la lumière de la preuve,</w:t>
      </w:r>
      <w:r>
        <w:rPr>
          <w:lang w:eastAsia="fr-FR"/>
        </w:rPr>
        <w:t xml:space="preserve"> que la grève ne</w:t>
      </w:r>
      <w:r w:rsidR="001725A2">
        <w:t xml:space="preserve"> menace pas réellement la population d’un préjudice grave, puisque</w:t>
      </w:r>
      <w:r w:rsidR="00CA19D1">
        <w:t>, de toute façon,</w:t>
      </w:r>
      <w:r w:rsidR="001725A2">
        <w:t xml:space="preserve"> la centrale n’intervient pas pour maintenir l’alimentation de la ville lors de la maintenance des équipements d’Hydro</w:t>
      </w:r>
      <w:r w:rsidR="00741986">
        <w:t>,</w:t>
      </w:r>
      <w:r w:rsidR="001725A2">
        <w:t xml:space="preserve"> et ce, depuis au moins dix ans. </w:t>
      </w:r>
    </w:p>
    <w:p w14:paraId="27239A1B" w14:textId="7C1095CA" w:rsidR="00F0655E" w:rsidRDefault="00F868F9" w:rsidP="00247AEB">
      <w:pPr>
        <w:pStyle w:val="corpsdedcision"/>
        <w:rPr>
          <w:lang w:eastAsia="fr-FR"/>
        </w:rPr>
      </w:pPr>
      <w:r>
        <w:rPr>
          <w:lang w:eastAsia="fr-FR"/>
        </w:rPr>
        <w:t>De toute façon</w:t>
      </w:r>
      <w:r w:rsidR="004E7A18">
        <w:rPr>
          <w:lang w:eastAsia="fr-FR"/>
        </w:rPr>
        <w:t xml:space="preserve">, </w:t>
      </w:r>
      <w:r w:rsidR="006D2930">
        <w:rPr>
          <w:lang w:eastAsia="fr-FR"/>
        </w:rPr>
        <w:t xml:space="preserve">en vertu de </w:t>
      </w:r>
      <w:r w:rsidR="00F0655E">
        <w:rPr>
          <w:lang w:eastAsia="fr-FR"/>
        </w:rPr>
        <w:t>l’article 111.0.23</w:t>
      </w:r>
      <w:r w:rsidR="00B704BC">
        <w:rPr>
          <w:lang w:eastAsia="fr-FR"/>
        </w:rPr>
        <w:t>,</w:t>
      </w:r>
      <w:r w:rsidR="00F0655E">
        <w:rPr>
          <w:lang w:eastAsia="fr-FR"/>
        </w:rPr>
        <w:t xml:space="preserve"> </w:t>
      </w:r>
      <w:r w:rsidR="006D2930">
        <w:rPr>
          <w:lang w:eastAsia="fr-FR"/>
        </w:rPr>
        <w:t>le</w:t>
      </w:r>
      <w:r w:rsidR="00F0655E">
        <w:rPr>
          <w:lang w:eastAsia="fr-FR"/>
        </w:rPr>
        <w:t xml:space="preserve"> syndicat d</w:t>
      </w:r>
      <w:r w:rsidR="006D2930">
        <w:rPr>
          <w:lang w:eastAsia="fr-FR"/>
        </w:rPr>
        <w:t>oit</w:t>
      </w:r>
      <w:r w:rsidR="00F0655E">
        <w:rPr>
          <w:lang w:eastAsia="fr-FR"/>
        </w:rPr>
        <w:t xml:space="preserve"> fournir à l’employeur exploitant un service public un avis préalable de </w:t>
      </w:r>
      <w:r w:rsidR="00B704BC">
        <w:rPr>
          <w:lang w:eastAsia="fr-FR"/>
        </w:rPr>
        <w:t>sept</w:t>
      </w:r>
      <w:r w:rsidR="00F0655E">
        <w:rPr>
          <w:lang w:eastAsia="fr-FR"/>
        </w:rPr>
        <w:t xml:space="preserve"> jours ouvrables franc</w:t>
      </w:r>
      <w:r w:rsidR="00B704BC">
        <w:rPr>
          <w:lang w:eastAsia="fr-FR"/>
        </w:rPr>
        <w:t>s</w:t>
      </w:r>
      <w:r w:rsidR="00F0655E">
        <w:rPr>
          <w:lang w:eastAsia="fr-FR"/>
        </w:rPr>
        <w:t xml:space="preserve"> précédent la grève. Cet avis </w:t>
      </w:r>
      <w:r w:rsidR="00B704BC">
        <w:rPr>
          <w:lang w:eastAsia="fr-FR"/>
        </w:rPr>
        <w:t xml:space="preserve">lui </w:t>
      </w:r>
      <w:r w:rsidR="006D2930">
        <w:rPr>
          <w:lang w:eastAsia="fr-FR"/>
        </w:rPr>
        <w:t>permet</w:t>
      </w:r>
      <w:r w:rsidR="00F0655E">
        <w:rPr>
          <w:lang w:eastAsia="fr-FR"/>
        </w:rPr>
        <w:t xml:space="preserve"> d’informer </w:t>
      </w:r>
      <w:r w:rsidR="004E7A18">
        <w:rPr>
          <w:lang w:eastAsia="fr-FR"/>
        </w:rPr>
        <w:t xml:space="preserve">Hydro-Québec </w:t>
      </w:r>
      <w:r w:rsidR="00F0655E">
        <w:rPr>
          <w:lang w:eastAsia="fr-FR"/>
        </w:rPr>
        <w:t>de l’arrêt de la centrale à venir</w:t>
      </w:r>
      <w:r w:rsidR="00C37712">
        <w:rPr>
          <w:lang w:eastAsia="fr-FR"/>
        </w:rPr>
        <w:t>,</w:t>
      </w:r>
      <w:r w:rsidR="00F0655E">
        <w:rPr>
          <w:lang w:eastAsia="fr-FR"/>
        </w:rPr>
        <w:t xml:space="preserve"> et ce, au moins </w:t>
      </w:r>
      <w:r w:rsidR="004E7A18">
        <w:rPr>
          <w:lang w:eastAsia="fr-FR"/>
        </w:rPr>
        <w:t>une semaine à l’avance</w:t>
      </w:r>
      <w:r w:rsidR="00F0655E">
        <w:rPr>
          <w:lang w:eastAsia="fr-FR"/>
        </w:rPr>
        <w:t xml:space="preserve"> comme l’exige le</w:t>
      </w:r>
      <w:r w:rsidR="00C37712">
        <w:rPr>
          <w:lang w:eastAsia="fr-FR"/>
        </w:rPr>
        <w:t>ur</w:t>
      </w:r>
      <w:r w:rsidR="00F0655E">
        <w:rPr>
          <w:lang w:eastAsia="fr-FR"/>
        </w:rPr>
        <w:t xml:space="preserve"> contrat</w:t>
      </w:r>
      <w:r w:rsidR="00C37712">
        <w:rPr>
          <w:rStyle w:val="Appelnotedebasdep"/>
          <w:lang w:eastAsia="fr-FR"/>
        </w:rPr>
        <w:footnoteReference w:id="21"/>
      </w:r>
      <w:r w:rsidR="00D70EAA">
        <w:rPr>
          <w:lang w:eastAsia="fr-FR"/>
        </w:rPr>
        <w:t xml:space="preserve">. </w:t>
      </w:r>
      <w:r w:rsidR="00457378">
        <w:rPr>
          <w:lang w:eastAsia="fr-FR"/>
        </w:rPr>
        <w:t>P</w:t>
      </w:r>
      <w:r w:rsidR="006D2930">
        <w:rPr>
          <w:lang w:eastAsia="fr-FR"/>
        </w:rPr>
        <w:t xml:space="preserve">uisqu'il </w:t>
      </w:r>
      <w:r w:rsidR="00C37712">
        <w:rPr>
          <w:lang w:eastAsia="fr-FR"/>
        </w:rPr>
        <w:t xml:space="preserve">s’agit d'un préavis </w:t>
      </w:r>
      <w:r w:rsidR="00C37712" w:rsidRPr="00580D80">
        <w:rPr>
          <w:lang w:eastAsia="fr-FR"/>
        </w:rPr>
        <w:t xml:space="preserve">jugé suffisant </w:t>
      </w:r>
      <w:r w:rsidR="00457378">
        <w:rPr>
          <w:lang w:eastAsia="fr-FR"/>
        </w:rPr>
        <w:t xml:space="preserve">par </w:t>
      </w:r>
      <w:r w:rsidR="00C37712">
        <w:rPr>
          <w:lang w:eastAsia="fr-FR"/>
        </w:rPr>
        <w:t>Hydro-Québec</w:t>
      </w:r>
      <w:r w:rsidR="00457378">
        <w:rPr>
          <w:lang w:eastAsia="fr-FR"/>
        </w:rPr>
        <w:t>, lequel est responsable de la fourniture d’électricité à la population, l</w:t>
      </w:r>
      <w:r>
        <w:rPr>
          <w:lang w:eastAsia="fr-FR"/>
        </w:rPr>
        <w:t xml:space="preserve">e Tribunal comprend qu’un tel délai </w:t>
      </w:r>
      <w:r w:rsidR="002F2140">
        <w:rPr>
          <w:lang w:eastAsia="fr-FR"/>
        </w:rPr>
        <w:t>l’est aussi dans le cas où l’interruption découle d’une grève.</w:t>
      </w:r>
    </w:p>
    <w:p w14:paraId="1BDBB914" w14:textId="234F701A" w:rsidR="00C37712" w:rsidRDefault="00C37712" w:rsidP="00247AEB">
      <w:pPr>
        <w:pStyle w:val="corpsdedcision"/>
        <w:rPr>
          <w:lang w:eastAsia="fr-FR"/>
        </w:rPr>
      </w:pPr>
      <w:r>
        <w:rPr>
          <w:lang w:eastAsia="fr-FR"/>
        </w:rPr>
        <w:t>À défaut de preuve contraire, le Tribunal en conclut que cela suffit pour éviter de mettre en danger la santé ou la sécurité publique.</w:t>
      </w:r>
    </w:p>
    <w:p w14:paraId="575801BE" w14:textId="77777777" w:rsidR="00173ED6" w:rsidRPr="00A4401E" w:rsidRDefault="00173ED6" w:rsidP="00173ED6">
      <w:pPr>
        <w:pStyle w:val="corpsdedcision"/>
        <w:rPr>
          <w:lang w:eastAsia="fr-FR"/>
        </w:rPr>
      </w:pPr>
      <w:r w:rsidRPr="00A4401E">
        <w:rPr>
          <w:lang w:eastAsia="fr-FR"/>
        </w:rPr>
        <w:t xml:space="preserve">Reste à examiner l’effet de la grève des salariés </w:t>
      </w:r>
      <w:r w:rsidR="00C37712">
        <w:rPr>
          <w:lang w:eastAsia="fr-FR"/>
        </w:rPr>
        <w:t>sur l’alimentation en électricité</w:t>
      </w:r>
      <w:r w:rsidR="002F2140">
        <w:rPr>
          <w:lang w:eastAsia="fr-FR"/>
        </w:rPr>
        <w:t xml:space="preserve"> de la ville de Senneterre</w:t>
      </w:r>
      <w:r w:rsidR="00C37712">
        <w:rPr>
          <w:lang w:eastAsia="fr-FR"/>
        </w:rPr>
        <w:t xml:space="preserve"> en cas de bris de la</w:t>
      </w:r>
      <w:r w:rsidR="00A4401E">
        <w:rPr>
          <w:lang w:eastAsia="fr-FR"/>
        </w:rPr>
        <w:t xml:space="preserve"> ligne de transmission d’Hydro-Québec. </w:t>
      </w:r>
    </w:p>
    <w:p w14:paraId="6647A8D1" w14:textId="398C69E4" w:rsidR="00630143" w:rsidRDefault="00A4401E" w:rsidP="00F10EDA">
      <w:pPr>
        <w:pStyle w:val="corpsdedcision"/>
      </w:pPr>
      <w:r>
        <w:t xml:space="preserve">Les extraits des ententes entre Hydro-Québec et l’employeur ne </w:t>
      </w:r>
      <w:r w:rsidR="002F2140">
        <w:t>traitent</w:t>
      </w:r>
      <w:r>
        <w:t xml:space="preserve"> </w:t>
      </w:r>
      <w:r w:rsidR="0053354B">
        <w:t xml:space="preserve">pas </w:t>
      </w:r>
      <w:r w:rsidR="002F2140">
        <w:t>spécifiquement de</w:t>
      </w:r>
      <w:r>
        <w:t xml:space="preserve"> la mise en place de </w:t>
      </w:r>
      <w:r w:rsidRPr="00F30BA0">
        <w:t xml:space="preserve">l’alimentation en mode îloté </w:t>
      </w:r>
      <w:r>
        <w:t xml:space="preserve">en cas de panne ou de </w:t>
      </w:r>
      <w:r w:rsidRPr="00F30BA0">
        <w:t xml:space="preserve">situation </w:t>
      </w:r>
      <w:r>
        <w:t>u</w:t>
      </w:r>
      <w:r w:rsidRPr="00F30BA0">
        <w:t>rgen</w:t>
      </w:r>
      <w:r>
        <w:t>te</w:t>
      </w:r>
      <w:r w:rsidRPr="00F30BA0">
        <w:t xml:space="preserve">. </w:t>
      </w:r>
      <w:r>
        <w:t>On y mentionne seulement</w:t>
      </w:r>
      <w:r w:rsidRPr="00F30BA0">
        <w:t xml:space="preserve"> que les installations sont conçues pour pouvoir fonctionner</w:t>
      </w:r>
      <w:r>
        <w:t xml:space="preserve"> </w:t>
      </w:r>
      <w:r w:rsidRPr="00A4401E">
        <w:t>occasionnellement</w:t>
      </w:r>
      <w:r w:rsidRPr="00F30BA0">
        <w:t xml:space="preserve">, </w:t>
      </w:r>
      <w:r w:rsidRPr="00A4401E">
        <w:t>notamment lors de l’entretien de la ligne d’Hydro</w:t>
      </w:r>
      <w:r w:rsidR="005128F4">
        <w:noBreakHyphen/>
      </w:r>
      <w:r w:rsidR="001E7333">
        <w:t>Québec</w:t>
      </w:r>
      <w:r>
        <w:t>.</w:t>
      </w:r>
      <w:r>
        <w:rPr>
          <w:rStyle w:val="Appelnotedebasdep"/>
        </w:rPr>
        <w:footnoteReference w:id="22"/>
      </w:r>
      <w:r>
        <w:t xml:space="preserve"> </w:t>
      </w:r>
    </w:p>
    <w:p w14:paraId="66244F1D" w14:textId="2BCD627A" w:rsidR="00630143" w:rsidRDefault="00F10EDA" w:rsidP="00630143">
      <w:pPr>
        <w:pStyle w:val="corpsdedcision"/>
      </w:pPr>
      <w:r>
        <w:t>Une r</w:t>
      </w:r>
      <w:r w:rsidR="00173ED6" w:rsidRPr="00580D80">
        <w:t>eprésentante de cette dernière</w:t>
      </w:r>
      <w:r>
        <w:t xml:space="preserve"> </w:t>
      </w:r>
      <w:r w:rsidR="003D5A94">
        <w:t>affirme</w:t>
      </w:r>
      <w:r>
        <w:t xml:space="preserve"> qu’Hydro-Québec</w:t>
      </w:r>
      <w:r w:rsidR="003D5A94">
        <w:t xml:space="preserve"> </w:t>
      </w:r>
      <w:r>
        <w:t>demande</w:t>
      </w:r>
      <w:r w:rsidR="005128F4">
        <w:t xml:space="preserve"> à la centrale d’alimenter la ville de </w:t>
      </w:r>
      <w:r w:rsidR="00E711C0" w:rsidRPr="004852C8">
        <w:t>Senneterre</w:t>
      </w:r>
      <w:r w:rsidR="005128F4">
        <w:rPr>
          <w:rStyle w:val="Citationintgre"/>
          <w:i w:val="0"/>
        </w:rPr>
        <w:t xml:space="preserve"> </w:t>
      </w:r>
      <w:r w:rsidR="005128F4">
        <w:t>en mode îloté sur les charges</w:t>
      </w:r>
      <w:r w:rsidR="00E711C0" w:rsidRPr="004852C8">
        <w:t xml:space="preserve"> d’Hydro</w:t>
      </w:r>
      <w:r w:rsidR="006D2930">
        <w:t>-</w:t>
      </w:r>
      <w:r w:rsidR="00E711C0" w:rsidRPr="004852C8">
        <w:t>Québec</w:t>
      </w:r>
      <w:r w:rsidR="00215771">
        <w:t xml:space="preserve"> </w:t>
      </w:r>
      <w:r w:rsidR="00E711C0" w:rsidRPr="004852C8">
        <w:t>l</w:t>
      </w:r>
      <w:r w:rsidR="002C12D7">
        <w:t xml:space="preserve">orsque </w:t>
      </w:r>
      <w:r w:rsidR="003900BA" w:rsidRPr="004852C8">
        <w:t>le</w:t>
      </w:r>
      <w:r w:rsidR="00E711C0" w:rsidRPr="004852C8">
        <w:t>ur</w:t>
      </w:r>
      <w:r w:rsidR="002C12D7">
        <w:t xml:space="preserve"> réseau de distribution n’est pas en mesure </w:t>
      </w:r>
      <w:r w:rsidR="00E711C0" w:rsidRPr="004852C8">
        <w:t xml:space="preserve">de le faire </w:t>
      </w:r>
      <w:r w:rsidR="001E7333" w:rsidRPr="004852C8">
        <w:t>à</w:t>
      </w:r>
      <w:r w:rsidR="003900BA" w:rsidRPr="004852C8">
        <w:t xml:space="preserve"> cause </w:t>
      </w:r>
      <w:r w:rsidR="001E7333" w:rsidRPr="004852C8">
        <w:t>de bris</w:t>
      </w:r>
      <w:r w:rsidR="003900BA" w:rsidRPr="004852C8">
        <w:t xml:space="preserve"> ou de </w:t>
      </w:r>
      <w:r w:rsidR="003900BA" w:rsidRPr="004852C8">
        <w:lastRenderedPageBreak/>
        <w:t>maintenance</w:t>
      </w:r>
      <w:r w:rsidR="004852C8">
        <w:rPr>
          <w:rStyle w:val="Appelnotedebasdep"/>
        </w:rPr>
        <w:footnoteReference w:id="23"/>
      </w:r>
      <w:r w:rsidR="00E711C0">
        <w:t>.</w:t>
      </w:r>
      <w:r w:rsidR="003900BA">
        <w:t xml:space="preserve"> </w:t>
      </w:r>
      <w:r w:rsidR="00630143">
        <w:t>Cependant, les parties au contrat ont, à l’évidence, accepté que la centrale ne soit pas toujours en mesure de répondre à ces demandes puisqu’elles ont prévu des suspensions de</w:t>
      </w:r>
      <w:r w:rsidR="006D2930">
        <w:t>s</w:t>
      </w:r>
      <w:r w:rsidR="00630143">
        <w:t xml:space="preserve"> livraison</w:t>
      </w:r>
      <w:r w:rsidR="006D2930">
        <w:t>s</w:t>
      </w:r>
      <w:r w:rsidR="00630143">
        <w:t xml:space="preserve"> d’électricité </w:t>
      </w:r>
      <w:r w:rsidR="00215771">
        <w:t xml:space="preserve">trois mois et demi par an </w:t>
      </w:r>
      <w:r w:rsidR="00630143">
        <w:t>qui coïncide</w:t>
      </w:r>
      <w:r w:rsidR="008D4B2A">
        <w:t>nt</w:t>
      </w:r>
      <w:r w:rsidR="00630143">
        <w:t xml:space="preserve"> avec des arrêts de</w:t>
      </w:r>
      <w:r w:rsidR="003900BA">
        <w:t xml:space="preserve"> production</w:t>
      </w:r>
      <w:r w:rsidR="008D4B2A">
        <w:t>.</w:t>
      </w:r>
      <w:r w:rsidR="00BE1A28">
        <w:t xml:space="preserve"> </w:t>
      </w:r>
    </w:p>
    <w:p w14:paraId="19FBE8AC" w14:textId="39641A65" w:rsidR="00854BB6" w:rsidRDefault="00854BB6" w:rsidP="00630143">
      <w:pPr>
        <w:pStyle w:val="corpsdedcision"/>
      </w:pPr>
      <w:r>
        <w:rPr>
          <w:lang w:eastAsia="fr-FR"/>
        </w:rPr>
        <w:t>De plus, comme mentionné précédemment, le mode îloté n’a pas été utilisé pour alimenter Senneterre lors des pannes électriques survenues au cours des dix dernières années. Cette apparente contradiction avec la déclaration de la représentan</w:t>
      </w:r>
      <w:r w:rsidR="002C12D7">
        <w:rPr>
          <w:lang w:eastAsia="fr-FR"/>
        </w:rPr>
        <w:t>te d’Hydro</w:t>
      </w:r>
      <w:r w:rsidR="002C12D7">
        <w:rPr>
          <w:lang w:eastAsia="fr-FR"/>
        </w:rPr>
        <w:noBreakHyphen/>
      </w:r>
      <w:r>
        <w:rPr>
          <w:lang w:eastAsia="fr-FR"/>
        </w:rPr>
        <w:t xml:space="preserve">Québec n’est pas expliquée par l’employeur dans le cadre de sa réplique ni de sa supplique. </w:t>
      </w:r>
    </w:p>
    <w:p w14:paraId="7019DFDB" w14:textId="77777777" w:rsidR="00215771" w:rsidRDefault="00630143" w:rsidP="00630143">
      <w:pPr>
        <w:pStyle w:val="corpsdedcision"/>
      </w:pPr>
      <w:r>
        <w:rPr>
          <w:lang w:eastAsia="fr-FR"/>
        </w:rPr>
        <w:t>Si un</w:t>
      </w:r>
      <w:r w:rsidR="007304CC">
        <w:rPr>
          <w:lang w:eastAsia="fr-FR"/>
        </w:rPr>
        <w:t>e</w:t>
      </w:r>
      <w:r>
        <w:rPr>
          <w:lang w:eastAsia="fr-FR"/>
        </w:rPr>
        <w:t xml:space="preserve"> </w:t>
      </w:r>
      <w:r w:rsidR="006D2930">
        <w:rPr>
          <w:lang w:eastAsia="fr-FR"/>
        </w:rPr>
        <w:t>panne</w:t>
      </w:r>
      <w:r>
        <w:rPr>
          <w:lang w:eastAsia="fr-FR"/>
        </w:rPr>
        <w:t xml:space="preserve"> du réseau survient au cours </w:t>
      </w:r>
      <w:r w:rsidR="00854BB6">
        <w:rPr>
          <w:lang w:eastAsia="fr-FR"/>
        </w:rPr>
        <w:t>d’un arrêt de production planifié</w:t>
      </w:r>
      <w:r w:rsidR="006D2930">
        <w:rPr>
          <w:lang w:eastAsia="fr-FR"/>
        </w:rPr>
        <w:t xml:space="preserve"> de la centrale</w:t>
      </w:r>
      <w:r>
        <w:rPr>
          <w:lang w:eastAsia="fr-FR"/>
        </w:rPr>
        <w:t>, l’alimentation de la ville sera interrompue jusqu’à ce que la situation soit rétablie du côté d’Hydro-Québec ou que la centrale soit remise en fonction.</w:t>
      </w:r>
      <w:r w:rsidRPr="00232CFD">
        <w:t xml:space="preserve"> </w:t>
      </w:r>
      <w:r>
        <w:t>Dans l’intervalle, il</w:t>
      </w:r>
      <w:r w:rsidRPr="00580D80">
        <w:t xml:space="preserve"> n’existe aucune </w:t>
      </w:r>
      <w:r>
        <w:t>alternative permettant</w:t>
      </w:r>
      <w:r w:rsidRPr="00580D80">
        <w:t xml:space="preserve"> </w:t>
      </w:r>
      <w:r>
        <w:t>d’éviter une panne</w:t>
      </w:r>
      <w:r w:rsidRPr="00580D80">
        <w:t xml:space="preserve"> dans un tel contexte</w:t>
      </w:r>
      <w:r>
        <w:t xml:space="preserve">. </w:t>
      </w:r>
    </w:p>
    <w:p w14:paraId="2BADB871" w14:textId="4EF0A4B1" w:rsidR="00854BB6" w:rsidRDefault="00215771" w:rsidP="00630143">
      <w:pPr>
        <w:pStyle w:val="corpsdedcision"/>
      </w:pPr>
      <w:r>
        <w:t xml:space="preserve">L’employeur </w:t>
      </w:r>
      <w:r w:rsidR="00854BB6">
        <w:rPr>
          <w:lang w:eastAsia="fr-FR"/>
        </w:rPr>
        <w:t>argue que ces arrêts</w:t>
      </w:r>
      <w:r>
        <w:rPr>
          <w:lang w:eastAsia="fr-FR"/>
        </w:rPr>
        <w:t xml:space="preserve"> </w:t>
      </w:r>
      <w:r w:rsidR="001B05D3">
        <w:rPr>
          <w:lang w:eastAsia="fr-FR"/>
        </w:rPr>
        <w:t>planifiés</w:t>
      </w:r>
      <w:r w:rsidR="00FD31BF">
        <w:rPr>
          <w:lang w:eastAsia="fr-FR"/>
        </w:rPr>
        <w:t xml:space="preserve"> se tiennent aux moments de l’année </w:t>
      </w:r>
      <w:r w:rsidR="00BE1A28">
        <w:rPr>
          <w:lang w:eastAsia="fr-FR"/>
        </w:rPr>
        <w:t xml:space="preserve">le moins </w:t>
      </w:r>
      <w:r w:rsidR="003900BA">
        <w:rPr>
          <w:lang w:eastAsia="fr-FR"/>
        </w:rPr>
        <w:t>dommageables</w:t>
      </w:r>
      <w:r w:rsidR="00BE1A28">
        <w:rPr>
          <w:lang w:eastAsia="fr-FR"/>
        </w:rPr>
        <w:t xml:space="preserve"> possible</w:t>
      </w:r>
      <w:r w:rsidR="00854BB6">
        <w:rPr>
          <w:lang w:eastAsia="fr-FR"/>
        </w:rPr>
        <w:t>, c’est-à-dire au printemps et à l’automne.</w:t>
      </w:r>
      <w:r>
        <w:rPr>
          <w:lang w:eastAsia="fr-FR"/>
        </w:rPr>
        <w:t xml:space="preserve"> </w:t>
      </w:r>
    </w:p>
    <w:p w14:paraId="42897F79" w14:textId="77777777" w:rsidR="00F57237" w:rsidRDefault="00854BB6" w:rsidP="00630143">
      <w:pPr>
        <w:pStyle w:val="corpsdedcision"/>
      </w:pPr>
      <w:r>
        <w:rPr>
          <w:lang w:eastAsia="fr-FR"/>
        </w:rPr>
        <w:t>Évidemment, u</w:t>
      </w:r>
      <w:r w:rsidR="00215771">
        <w:rPr>
          <w:lang w:eastAsia="fr-FR"/>
        </w:rPr>
        <w:t xml:space="preserve">ne </w:t>
      </w:r>
      <w:r>
        <w:rPr>
          <w:lang w:eastAsia="fr-FR"/>
        </w:rPr>
        <w:t xml:space="preserve">panne affectant la ligne de transmission d’Hydro-Québec pendant l’hiver peut mettre en danger la santé ou la sécurité publique. </w:t>
      </w:r>
    </w:p>
    <w:p w14:paraId="2FEC162E" w14:textId="77777777" w:rsidR="00BE1A28" w:rsidRDefault="00854BB6" w:rsidP="00630143">
      <w:pPr>
        <w:pStyle w:val="corpsdedcision"/>
      </w:pPr>
      <w:r>
        <w:rPr>
          <w:lang w:eastAsia="fr-FR"/>
        </w:rPr>
        <w:t xml:space="preserve">Mais qu’en est-il de la </w:t>
      </w:r>
      <w:r w:rsidR="00215771">
        <w:rPr>
          <w:lang w:eastAsia="fr-FR"/>
        </w:rPr>
        <w:t xml:space="preserve">grève </w:t>
      </w:r>
      <w:r>
        <w:rPr>
          <w:lang w:eastAsia="fr-FR"/>
        </w:rPr>
        <w:t>des salariés de l’employeur?</w:t>
      </w:r>
    </w:p>
    <w:p w14:paraId="0F1BB8A8" w14:textId="77777777" w:rsidR="00F57237" w:rsidRDefault="00D31BA9" w:rsidP="00704371">
      <w:pPr>
        <w:pStyle w:val="corpsdedcision"/>
        <w:rPr>
          <w:lang w:eastAsia="fr-FR"/>
        </w:rPr>
      </w:pPr>
      <w:r w:rsidRPr="00EE1E0F">
        <w:t xml:space="preserve">Hydro-Québec est </w:t>
      </w:r>
      <w:r>
        <w:t xml:space="preserve">responsable </w:t>
      </w:r>
      <w:r w:rsidRPr="00EE1E0F">
        <w:t>de fournir de l’électricité</w:t>
      </w:r>
      <w:r>
        <w:t xml:space="preserve"> à la population</w:t>
      </w:r>
      <w:r w:rsidR="00F57237">
        <w:t xml:space="preserve"> québécoise</w:t>
      </w:r>
      <w:r>
        <w:t xml:space="preserve">. </w:t>
      </w:r>
      <w:r w:rsidR="00F57237">
        <w:t>E</w:t>
      </w:r>
      <w:r w:rsidRPr="00EE1E0F">
        <w:t xml:space="preserve">lle a conclu une entente avec l’employeur pour </w:t>
      </w:r>
      <w:r>
        <w:t xml:space="preserve">maintenir l’alimentation électrique de </w:t>
      </w:r>
      <w:r w:rsidRPr="00EE1E0F">
        <w:t>Senneterre en cas de défaillance de ses propres installations</w:t>
      </w:r>
      <w:r w:rsidR="00F57237">
        <w:t>, mais m</w:t>
      </w:r>
      <w:r>
        <w:t xml:space="preserve">algré cela, </w:t>
      </w:r>
      <w:r w:rsidR="00F57237">
        <w:t>l’employeur ne fournit pas d’électricité lors des pannes des dix dernières années</w:t>
      </w:r>
      <w:r w:rsidR="00206FB3" w:rsidRPr="00206FB3">
        <w:t xml:space="preserve">. </w:t>
      </w:r>
    </w:p>
    <w:p w14:paraId="3587C59F" w14:textId="2524F5BB" w:rsidR="00E10704" w:rsidRPr="00FD31BF" w:rsidRDefault="00F57237" w:rsidP="00DE351D">
      <w:pPr>
        <w:pStyle w:val="corpsdedcision"/>
      </w:pPr>
      <w:r>
        <w:t xml:space="preserve">En conséquence et faute d’explications, le Tribunal </w:t>
      </w:r>
      <w:r w:rsidR="00D31BA9">
        <w:t>conclu</w:t>
      </w:r>
      <w:r>
        <w:t>t</w:t>
      </w:r>
      <w:r w:rsidR="00D31BA9">
        <w:t xml:space="preserve"> qu’avec ou sans grève des salariés, </w:t>
      </w:r>
      <w:r>
        <w:t xml:space="preserve">la centrale </w:t>
      </w:r>
      <w:r w:rsidR="006D2930">
        <w:t xml:space="preserve">ne </w:t>
      </w:r>
      <w:r>
        <w:t>fournit pas</w:t>
      </w:r>
      <w:r w:rsidR="002159B0">
        <w:t xml:space="preserve"> </w:t>
      </w:r>
      <w:r w:rsidR="00D31BA9">
        <w:t>la population de Senneterre </w:t>
      </w:r>
      <w:r w:rsidR="002159B0">
        <w:t xml:space="preserve">en </w:t>
      </w:r>
      <w:r w:rsidR="00D31BA9">
        <w:t xml:space="preserve">électricité advenant </w:t>
      </w:r>
      <w:r w:rsidR="002159B0">
        <w:t>une panne d</w:t>
      </w:r>
      <w:r w:rsidR="00D31BA9">
        <w:t>’Hydro-Québec.</w:t>
      </w:r>
      <w:r w:rsidR="002159B0">
        <w:t xml:space="preserve"> </w:t>
      </w:r>
      <w:r>
        <w:t xml:space="preserve">Au surplus, rien n’indique </w:t>
      </w:r>
      <w:r w:rsidR="002159B0">
        <w:t xml:space="preserve">qu’il en sera autrement à l'avenir et que, de ce fait, le droit à la grève des salariés doit être restreint. </w:t>
      </w:r>
      <w:r w:rsidR="00E10704">
        <w:t>L</w:t>
      </w:r>
      <w:r>
        <w:t>’évocation de</w:t>
      </w:r>
      <w:r w:rsidR="00E10704">
        <w:t xml:space="preserve"> </w:t>
      </w:r>
      <w:r w:rsidR="006D2930">
        <w:rPr>
          <w:rStyle w:val="Citationintgre"/>
          <w:i w:val="0"/>
          <w:sz w:val="24"/>
          <w:szCs w:val="24"/>
        </w:rPr>
        <w:t xml:space="preserve">situations non décrites ayant entrainé la fourniture d'électricité en mode </w:t>
      </w:r>
      <w:r w:rsidR="008D4B2A">
        <w:rPr>
          <w:rStyle w:val="Citationintgre"/>
          <w:i w:val="0"/>
          <w:sz w:val="24"/>
          <w:szCs w:val="24"/>
        </w:rPr>
        <w:t>îloté</w:t>
      </w:r>
      <w:r w:rsidR="006D2930">
        <w:rPr>
          <w:rStyle w:val="Citationintgre"/>
          <w:i w:val="0"/>
          <w:sz w:val="24"/>
          <w:szCs w:val="24"/>
        </w:rPr>
        <w:t xml:space="preserve"> à trois ou quatre reprises il y a plus de dix ans ne démontre pas l'existence </w:t>
      </w:r>
      <w:r w:rsidR="001B05D3">
        <w:rPr>
          <w:rStyle w:val="Citationintgre"/>
          <w:i w:val="0"/>
          <w:sz w:val="24"/>
          <w:szCs w:val="24"/>
        </w:rPr>
        <w:t xml:space="preserve">d’un </w:t>
      </w:r>
      <w:r w:rsidR="006D2930">
        <w:rPr>
          <w:rStyle w:val="Citationintgre"/>
          <w:i w:val="0"/>
          <w:sz w:val="24"/>
          <w:szCs w:val="24"/>
        </w:rPr>
        <w:t>danger</w:t>
      </w:r>
      <w:r w:rsidR="001B05D3">
        <w:rPr>
          <w:rStyle w:val="Citationintgre"/>
          <w:i w:val="0"/>
          <w:sz w:val="24"/>
          <w:szCs w:val="24"/>
        </w:rPr>
        <w:t xml:space="preserve"> réel</w:t>
      </w:r>
      <w:r w:rsidR="007209AC">
        <w:rPr>
          <w:rStyle w:val="Citationintgre"/>
          <w:i w:val="0"/>
          <w:sz w:val="24"/>
          <w:szCs w:val="24"/>
        </w:rPr>
        <w:t xml:space="preserve">, mais </w:t>
      </w:r>
      <w:r w:rsidR="007209AC">
        <w:rPr>
          <w:rStyle w:val="Citationintgre"/>
          <w:i w:val="0"/>
          <w:sz w:val="24"/>
          <w:szCs w:val="24"/>
        </w:rPr>
        <w:lastRenderedPageBreak/>
        <w:t xml:space="preserve">de </w:t>
      </w:r>
      <w:r>
        <w:rPr>
          <w:rStyle w:val="Citationintgre"/>
          <w:i w:val="0"/>
          <w:sz w:val="24"/>
          <w:szCs w:val="24"/>
        </w:rPr>
        <w:t>craintes</w:t>
      </w:r>
      <w:r w:rsidR="007209AC">
        <w:rPr>
          <w:rStyle w:val="Citationintgre"/>
          <w:i w:val="0"/>
          <w:sz w:val="24"/>
          <w:szCs w:val="24"/>
        </w:rPr>
        <w:t xml:space="preserve"> et d'</w:t>
      </w:r>
      <w:r>
        <w:rPr>
          <w:rStyle w:val="Citationintgre"/>
          <w:i w:val="0"/>
          <w:sz w:val="24"/>
          <w:szCs w:val="24"/>
        </w:rPr>
        <w:t>appréhensions</w:t>
      </w:r>
      <w:r w:rsidR="007209AC">
        <w:rPr>
          <w:rStyle w:val="Citationintgre"/>
          <w:i w:val="0"/>
          <w:sz w:val="24"/>
          <w:szCs w:val="24"/>
        </w:rPr>
        <w:t>. Cela</w:t>
      </w:r>
      <w:r w:rsidR="00E10704">
        <w:t xml:space="preserve"> ne</w:t>
      </w:r>
      <w:r w:rsidR="007209AC">
        <w:t xml:space="preserve"> justifie</w:t>
      </w:r>
      <w:r w:rsidR="00E10704">
        <w:t xml:space="preserve"> pas de limiter le droit à la grève des salariés</w:t>
      </w:r>
      <w:r w:rsidR="00185C5D">
        <w:rPr>
          <w:rStyle w:val="Appelnotedebasdep"/>
        </w:rPr>
        <w:footnoteReference w:id="24"/>
      </w:r>
      <w:r w:rsidR="00185C5D">
        <w:t>.</w:t>
      </w:r>
    </w:p>
    <w:p w14:paraId="34B52E44" w14:textId="440C2B41" w:rsidR="00C779D7" w:rsidRDefault="002159B0" w:rsidP="00E10704">
      <w:pPr>
        <w:pStyle w:val="corpsdedcision"/>
      </w:pPr>
      <w:r>
        <w:t xml:space="preserve">La présente affaire se distingue de la décision rendue dans </w:t>
      </w:r>
      <w:r w:rsidR="00C03B31" w:rsidRPr="00FD31BF">
        <w:rPr>
          <w:i/>
          <w:iCs/>
        </w:rPr>
        <w:t xml:space="preserve">Municipalité régionale de comté des </w:t>
      </w:r>
      <w:proofErr w:type="spellStart"/>
      <w:r w:rsidR="00C03B31" w:rsidRPr="00FD31BF">
        <w:rPr>
          <w:i/>
          <w:iCs/>
        </w:rPr>
        <w:t>Collines-de-l’Outaouais</w:t>
      </w:r>
      <w:proofErr w:type="spellEnd"/>
      <w:r w:rsidR="00C03B31">
        <w:rPr>
          <w:rStyle w:val="Appelnotedebasdep"/>
        </w:rPr>
        <w:footnoteReference w:id="25"/>
      </w:r>
      <w:r w:rsidR="00E10704">
        <w:t xml:space="preserve"> puisqu’en l’occurrence, </w:t>
      </w:r>
      <w:r w:rsidR="00185C5D">
        <w:t xml:space="preserve">ce n’est pas </w:t>
      </w:r>
      <w:r w:rsidR="00E10704">
        <w:t xml:space="preserve">l’employeur </w:t>
      </w:r>
      <w:r w:rsidR="00185C5D">
        <w:t>qui est</w:t>
      </w:r>
      <w:r w:rsidR="00E10704">
        <w:t xml:space="preserve"> responsable de la fourniture d’électricité, mais bien Hydro-Québec.</w:t>
      </w:r>
      <w:r w:rsidR="00C779D7" w:rsidRPr="00E10704">
        <w:rPr>
          <w:highlight w:val="lightGray"/>
        </w:rPr>
        <w:t xml:space="preserve">  </w:t>
      </w:r>
    </w:p>
    <w:p w14:paraId="25BCC7D0" w14:textId="77777777" w:rsidR="00185C5D" w:rsidRPr="00E10704" w:rsidRDefault="00185C5D" w:rsidP="00E10704">
      <w:pPr>
        <w:pStyle w:val="corpsdedcision"/>
      </w:pPr>
      <w:r>
        <w:t>Les parties n’ont pas à être assujetties au maintien de services essentiels en cas de grève.</w:t>
      </w:r>
    </w:p>
    <w:p w14:paraId="564A399F" w14:textId="4A82B7E4" w:rsidR="009E5309" w:rsidRDefault="009E5309" w:rsidP="009E5309">
      <w:pPr>
        <w:pStyle w:val="Titre2"/>
      </w:pPr>
      <w:r>
        <w:t>y</w:t>
      </w:r>
      <w:r w:rsidR="008D4B2A">
        <w:t xml:space="preserve"> </w:t>
      </w:r>
      <w:r>
        <w:t>a-t-il lieu de rendre une ordonnance de confidentialité</w:t>
      </w:r>
      <w:r w:rsidR="007210C5">
        <w:t>?</w:t>
      </w:r>
    </w:p>
    <w:p w14:paraId="78917867" w14:textId="21E432EF" w:rsidR="009E5309" w:rsidRPr="00423834" w:rsidRDefault="009E5309" w:rsidP="00846AC7">
      <w:pPr>
        <w:pStyle w:val="corpsdedcision"/>
      </w:pPr>
      <w:r>
        <w:rPr>
          <w:lang w:eastAsia="fr-FR"/>
        </w:rPr>
        <w:t xml:space="preserve">L’employeur </w:t>
      </w:r>
      <w:r w:rsidR="00DE13A4">
        <w:rPr>
          <w:lang w:eastAsia="fr-FR"/>
        </w:rPr>
        <w:t>allègue</w:t>
      </w:r>
      <w:r>
        <w:rPr>
          <w:lang w:eastAsia="fr-FR"/>
        </w:rPr>
        <w:t xml:space="preserve"> </w:t>
      </w:r>
      <w:r w:rsidR="00E10704" w:rsidRPr="00E10704">
        <w:t>que la preuve administrée a nécessité la production de documents contractuels contenant des informations confidentielles,</w:t>
      </w:r>
      <w:r w:rsidR="00E10704" w:rsidRPr="00423834">
        <w:t xml:space="preserve"> </w:t>
      </w:r>
      <w:r w:rsidR="00E10704">
        <w:t>lesquelles doivent être</w:t>
      </w:r>
      <w:r w:rsidR="00E10704" w:rsidRPr="00423834">
        <w:t xml:space="preserve"> protég</w:t>
      </w:r>
      <w:r w:rsidR="00E10704">
        <w:t>ées.</w:t>
      </w:r>
    </w:p>
    <w:p w14:paraId="7FC4F9FB" w14:textId="77777777" w:rsidR="009E5309" w:rsidRDefault="00EE1E0F" w:rsidP="00AE36B4">
      <w:pPr>
        <w:pStyle w:val="corpsdedcision"/>
        <w:spacing w:after="240"/>
        <w:rPr>
          <w:lang w:eastAsia="fr-FR"/>
        </w:rPr>
      </w:pPr>
      <w:r>
        <w:rPr>
          <w:lang w:eastAsia="fr-FR"/>
        </w:rPr>
        <w:t>De fait, l</w:t>
      </w:r>
      <w:r w:rsidR="00123BA8">
        <w:rPr>
          <w:lang w:eastAsia="fr-FR"/>
        </w:rPr>
        <w:t>e contrat conclu avec Hydro-Québec</w:t>
      </w:r>
      <w:r w:rsidR="00E9718A">
        <w:rPr>
          <w:rStyle w:val="Appelnotedebasdep"/>
          <w:lang w:eastAsia="fr-FR"/>
        </w:rPr>
        <w:footnoteReference w:id="26"/>
      </w:r>
      <w:r w:rsidR="00123BA8">
        <w:rPr>
          <w:lang w:eastAsia="fr-FR"/>
        </w:rPr>
        <w:t xml:space="preserve"> prévoit que : </w:t>
      </w:r>
    </w:p>
    <w:p w14:paraId="150FDE91" w14:textId="465C79C6" w:rsidR="00123BA8" w:rsidRPr="009E5309" w:rsidRDefault="00123BA8" w:rsidP="00AE36B4">
      <w:pPr>
        <w:pStyle w:val="citation"/>
        <w:spacing w:after="360"/>
        <w:rPr>
          <w:lang w:eastAsia="fr-FR"/>
        </w:rPr>
      </w:pPr>
      <w:r w:rsidRPr="00123BA8">
        <w:rPr>
          <w:lang w:eastAsia="fr-FR"/>
        </w:rPr>
        <w:t>Les Parties s’engagent à garder l’existence et le contenu de cette lettre confidentiels, en respectant les termes et conditions prévus à l’annexe A de la présente, lesquels remplacent ceux prévus à l’article 39 du Contrat</w:t>
      </w:r>
      <w:r w:rsidR="00EE1E0F">
        <w:rPr>
          <w:rStyle w:val="Appelnotedebasdep"/>
          <w:lang w:eastAsia="fr-FR"/>
        </w:rPr>
        <w:footnoteReference w:id="27"/>
      </w:r>
      <w:r w:rsidRPr="00123BA8">
        <w:rPr>
          <w:lang w:eastAsia="fr-FR"/>
        </w:rPr>
        <w:t>.</w:t>
      </w:r>
    </w:p>
    <w:p w14:paraId="1CDA1D73" w14:textId="77777777" w:rsidR="00E10704" w:rsidRDefault="00E10704" w:rsidP="00846AC7">
      <w:pPr>
        <w:pStyle w:val="corpsdedcision"/>
        <w:rPr>
          <w:lang w:eastAsia="fr-FR"/>
        </w:rPr>
      </w:pPr>
      <w:r>
        <w:rPr>
          <w:lang w:eastAsia="fr-FR"/>
        </w:rPr>
        <w:t xml:space="preserve">Le syndicat ne commente pas la requête patronale. </w:t>
      </w:r>
    </w:p>
    <w:p w14:paraId="76A874CE" w14:textId="00C63257" w:rsidR="00EE1E0F" w:rsidRPr="00C954DA" w:rsidRDefault="00E10704" w:rsidP="00846AC7">
      <w:pPr>
        <w:pStyle w:val="corpsdedcision"/>
        <w:rPr>
          <w:lang w:eastAsia="fr-FR"/>
        </w:rPr>
      </w:pPr>
      <w:r>
        <w:rPr>
          <w:lang w:eastAsia="fr-FR"/>
        </w:rPr>
        <w:t>La</w:t>
      </w:r>
      <w:r w:rsidR="00EE1E0F" w:rsidRPr="00C954DA">
        <w:rPr>
          <w:lang w:eastAsia="fr-FR"/>
        </w:rPr>
        <w:t xml:space="preserve"> demande de confidentialité met en cause le principe de la publicité des débats </w:t>
      </w:r>
      <w:proofErr w:type="gramStart"/>
      <w:r w:rsidR="00EE1E0F" w:rsidRPr="00C954DA">
        <w:rPr>
          <w:lang w:eastAsia="fr-FR"/>
        </w:rPr>
        <w:t>qui permet</w:t>
      </w:r>
      <w:proofErr w:type="gramEnd"/>
      <w:r w:rsidR="00EE1E0F" w:rsidRPr="00C954DA">
        <w:rPr>
          <w:lang w:eastAsia="fr-FR"/>
        </w:rPr>
        <w:t xml:space="preserve"> à toute personne d’assister aux audiences des tribunaux et de consulter les documents versés aux dossiers. Ce principe </w:t>
      </w:r>
      <w:r w:rsidR="00C954DA" w:rsidRPr="00C954DA">
        <w:rPr>
          <w:lang w:eastAsia="fr-FR"/>
        </w:rPr>
        <w:t xml:space="preserve">est lié </w:t>
      </w:r>
      <w:r w:rsidR="007209AC">
        <w:rPr>
          <w:lang w:eastAsia="fr-FR"/>
        </w:rPr>
        <w:t xml:space="preserve">à </w:t>
      </w:r>
      <w:r w:rsidR="00185C5D" w:rsidRPr="00846AC7">
        <w:rPr>
          <w:iCs/>
          <w:color w:val="000000" w:themeColor="text1"/>
          <w:lang w:eastAsia="fr-FR"/>
        </w:rPr>
        <w:t>la liberté d’expression</w:t>
      </w:r>
      <w:r w:rsidR="00C954DA" w:rsidRPr="00C954DA">
        <w:rPr>
          <w:lang w:eastAsia="fr-FR"/>
        </w:rPr>
        <w:t xml:space="preserve"> garanti</w:t>
      </w:r>
      <w:r w:rsidR="00185C5D">
        <w:rPr>
          <w:lang w:eastAsia="fr-FR"/>
        </w:rPr>
        <w:t>e</w:t>
      </w:r>
      <w:r w:rsidR="00C954DA" w:rsidRPr="00C954DA">
        <w:rPr>
          <w:lang w:eastAsia="fr-FR"/>
        </w:rPr>
        <w:t xml:space="preserve"> par la </w:t>
      </w:r>
      <w:r w:rsidR="00C954DA" w:rsidRPr="00C954DA">
        <w:rPr>
          <w:i/>
          <w:iCs/>
          <w:lang w:eastAsia="fr-FR"/>
        </w:rPr>
        <w:t xml:space="preserve">Charte </w:t>
      </w:r>
      <w:r w:rsidR="00C954DA" w:rsidRPr="00846AC7">
        <w:rPr>
          <w:i/>
          <w:iCs/>
          <w:color w:val="000000" w:themeColor="text1"/>
          <w:lang w:eastAsia="fr-FR"/>
        </w:rPr>
        <w:t>canadienne des droits et libertés</w:t>
      </w:r>
      <w:r w:rsidR="00C954DA" w:rsidRPr="007D6CBA">
        <w:rPr>
          <w:rStyle w:val="Appelnotedebasdep"/>
          <w:iCs/>
          <w:color w:val="000000" w:themeColor="text1"/>
          <w:lang w:eastAsia="fr-FR"/>
        </w:rPr>
        <w:footnoteReference w:id="28"/>
      </w:r>
      <w:r w:rsidR="00185C5D">
        <w:rPr>
          <w:iCs/>
          <w:color w:val="000000" w:themeColor="text1"/>
          <w:lang w:eastAsia="fr-FR"/>
        </w:rPr>
        <w:t>. L</w:t>
      </w:r>
      <w:r w:rsidR="00EE1E0F" w:rsidRPr="00C954DA">
        <w:rPr>
          <w:lang w:eastAsia="fr-FR"/>
        </w:rPr>
        <w:t xml:space="preserve">’article 23 de la </w:t>
      </w:r>
      <w:r w:rsidR="00EE1E0F" w:rsidRPr="00C954DA">
        <w:rPr>
          <w:i/>
          <w:lang w:eastAsia="fr-FR"/>
        </w:rPr>
        <w:t>Charte des droits et libertés de la personne</w:t>
      </w:r>
      <w:r w:rsidR="00EE1E0F" w:rsidRPr="002C6122">
        <w:rPr>
          <w:vertAlign w:val="superscript"/>
          <w:lang w:eastAsia="fr-FR"/>
        </w:rPr>
        <w:footnoteReference w:id="29"/>
      </w:r>
      <w:r w:rsidR="00EE1E0F" w:rsidRPr="00C954DA">
        <w:rPr>
          <w:lang w:eastAsia="fr-FR"/>
        </w:rPr>
        <w:t xml:space="preserve"> énonce le droit de toute personne à une audience publique. Cette disposition s’applique aux organismes quasi judiciaires</w:t>
      </w:r>
      <w:r w:rsidR="00EE1E0F" w:rsidRPr="002C6122">
        <w:rPr>
          <w:vertAlign w:val="superscript"/>
          <w:lang w:eastAsia="fr-FR"/>
        </w:rPr>
        <w:footnoteReference w:id="30"/>
      </w:r>
      <w:r w:rsidR="00EE1E0F" w:rsidRPr="00C954DA">
        <w:rPr>
          <w:lang w:eastAsia="fr-FR"/>
        </w:rPr>
        <w:t>.</w:t>
      </w:r>
    </w:p>
    <w:p w14:paraId="3795ED3C" w14:textId="64B87C7D" w:rsidR="00607D4E" w:rsidRPr="00846AC7" w:rsidRDefault="00607D4E" w:rsidP="00607D4E">
      <w:pPr>
        <w:pStyle w:val="corpsdedcision"/>
        <w:rPr>
          <w:color w:val="000000" w:themeColor="text1"/>
          <w:lang w:eastAsia="fr-FR"/>
        </w:rPr>
      </w:pPr>
      <w:r w:rsidRPr="00846AC7">
        <w:rPr>
          <w:color w:val="000000" w:themeColor="text1"/>
          <w:lang w:eastAsia="fr-FR"/>
        </w:rPr>
        <w:lastRenderedPageBreak/>
        <w:t xml:space="preserve">Néanmoins, </w:t>
      </w:r>
      <w:r w:rsidR="00846AC7" w:rsidRPr="00846AC7">
        <w:rPr>
          <w:color w:val="000000" w:themeColor="text1"/>
          <w:lang w:eastAsia="fr-FR"/>
        </w:rPr>
        <w:t xml:space="preserve">les </w:t>
      </w:r>
      <w:r w:rsidR="00846AC7" w:rsidRPr="00846AC7">
        <w:rPr>
          <w:i/>
          <w:color w:val="000000" w:themeColor="text1"/>
          <w:lang w:eastAsia="fr-FR"/>
        </w:rPr>
        <w:t xml:space="preserve">Règles de preuve et de procédure du Tribunal administratif du travail </w:t>
      </w:r>
      <w:r w:rsidR="00846AC7" w:rsidRPr="00185C5D">
        <w:rPr>
          <w:color w:val="000000" w:themeColor="text1"/>
          <w:lang w:eastAsia="fr-FR"/>
        </w:rPr>
        <w:t>énoncent que</w:t>
      </w:r>
      <w:r w:rsidR="00D60AD3" w:rsidRPr="00185C5D">
        <w:rPr>
          <w:color w:val="000000" w:themeColor="text1"/>
          <w:lang w:eastAsia="fr-FR"/>
        </w:rPr>
        <w:t xml:space="preserve"> </w:t>
      </w:r>
      <w:r w:rsidR="00185C5D" w:rsidRPr="00185C5D">
        <w:rPr>
          <w:color w:val="000000" w:themeColor="text1"/>
          <w:lang w:eastAsia="fr-FR"/>
        </w:rPr>
        <w:t xml:space="preserve">ce dernier </w:t>
      </w:r>
      <w:r w:rsidR="002C6122" w:rsidRPr="00185C5D">
        <w:rPr>
          <w:color w:val="000000" w:themeColor="text1"/>
          <w:lang w:eastAsia="fr-FR"/>
        </w:rPr>
        <w:t>peut</w:t>
      </w:r>
      <w:r w:rsidR="002C6122" w:rsidRPr="00846AC7">
        <w:rPr>
          <w:color w:val="000000" w:themeColor="text1"/>
          <w:lang w:eastAsia="fr-FR"/>
        </w:rPr>
        <w:t xml:space="preserve"> rendre une ordonnance de confidentialité lorsque cela lui </w:t>
      </w:r>
      <w:r w:rsidRPr="00846AC7">
        <w:rPr>
          <w:color w:val="000000" w:themeColor="text1"/>
          <w:lang w:eastAsia="fr-FR"/>
        </w:rPr>
        <w:t>« </w:t>
      </w:r>
      <w:r w:rsidR="002C6122" w:rsidRPr="00846AC7">
        <w:rPr>
          <w:rStyle w:val="Citationintgre"/>
          <w:color w:val="000000" w:themeColor="text1"/>
        </w:rPr>
        <w:t xml:space="preserve">parait nécessaire pour préserver </w:t>
      </w:r>
      <w:r w:rsidRPr="00846AC7">
        <w:rPr>
          <w:rStyle w:val="Citationintgre"/>
          <w:color w:val="000000" w:themeColor="text1"/>
        </w:rPr>
        <w:t xml:space="preserve">l’ordre </w:t>
      </w:r>
      <w:r w:rsidR="002C6122" w:rsidRPr="00846AC7">
        <w:rPr>
          <w:rStyle w:val="Citationintgre"/>
          <w:color w:val="000000" w:themeColor="text1"/>
        </w:rPr>
        <w:t xml:space="preserve">public </w:t>
      </w:r>
      <w:r w:rsidRPr="00846AC7">
        <w:rPr>
          <w:rStyle w:val="Citationintgre"/>
          <w:color w:val="000000" w:themeColor="text1"/>
        </w:rPr>
        <w:t>ou si le respect de leur caractère confidentiel le requiert pour assurer la bonne administration de la justice </w:t>
      </w:r>
      <w:r w:rsidRPr="00846AC7">
        <w:rPr>
          <w:color w:val="000000" w:themeColor="text1"/>
          <w:lang w:eastAsia="fr-FR"/>
        </w:rPr>
        <w:t>»</w:t>
      </w:r>
      <w:r w:rsidR="002C6122" w:rsidRPr="00846AC7">
        <w:rPr>
          <w:rFonts w:cs="Arial"/>
          <w:color w:val="000000" w:themeColor="text1"/>
          <w:szCs w:val="24"/>
          <w:vertAlign w:val="superscript"/>
        </w:rPr>
        <w:footnoteReference w:id="31"/>
      </w:r>
      <w:r w:rsidR="002C6122" w:rsidRPr="00846AC7">
        <w:rPr>
          <w:color w:val="000000" w:themeColor="text1"/>
          <w:lang w:eastAsia="fr-FR"/>
        </w:rPr>
        <w:t xml:space="preserve">. Il doit exercer sa discrétion </w:t>
      </w:r>
      <w:r w:rsidRPr="00846AC7">
        <w:rPr>
          <w:color w:val="000000" w:themeColor="text1"/>
          <w:lang w:eastAsia="fr-FR"/>
        </w:rPr>
        <w:t>en conformité avec</w:t>
      </w:r>
      <w:r w:rsidR="002C6122" w:rsidRPr="00846AC7">
        <w:rPr>
          <w:color w:val="000000" w:themeColor="text1"/>
          <w:lang w:eastAsia="fr-FR"/>
        </w:rPr>
        <w:t xml:space="preserve"> les chartes et en tenant compte de la forte présomption existant en faveur de la publicité des débats.</w:t>
      </w:r>
      <w:r w:rsidRPr="00846AC7">
        <w:rPr>
          <w:color w:val="000000" w:themeColor="text1"/>
          <w:lang w:eastAsia="fr-FR"/>
        </w:rPr>
        <w:t xml:space="preserve"> </w:t>
      </w:r>
    </w:p>
    <w:p w14:paraId="0DBAEDF1" w14:textId="77777777" w:rsidR="00607D4E" w:rsidRPr="00846AC7" w:rsidRDefault="00607D4E" w:rsidP="00AE36B4">
      <w:pPr>
        <w:pStyle w:val="corpsdedcision"/>
        <w:spacing w:after="240"/>
        <w:rPr>
          <w:color w:val="000000" w:themeColor="text1"/>
          <w:lang w:eastAsia="fr-FR"/>
        </w:rPr>
      </w:pPr>
      <w:r w:rsidRPr="00846AC7">
        <w:rPr>
          <w:color w:val="000000" w:themeColor="text1"/>
          <w:lang w:eastAsia="fr-FR"/>
        </w:rPr>
        <w:t xml:space="preserve">La Cour suprême du Canada formule ainsi le test à appliquer pour trancher une telle demande dans l’arrêt </w:t>
      </w:r>
      <w:r w:rsidRPr="00846AC7">
        <w:rPr>
          <w:i/>
          <w:color w:val="000000" w:themeColor="text1"/>
          <w:lang w:eastAsia="fr-FR"/>
        </w:rPr>
        <w:t>Sherman</w:t>
      </w:r>
      <w:r w:rsidRPr="00846AC7">
        <w:rPr>
          <w:color w:val="000000" w:themeColor="text1"/>
          <w:vertAlign w:val="superscript"/>
          <w:lang w:eastAsia="fr-FR"/>
        </w:rPr>
        <w:footnoteReference w:id="32"/>
      </w:r>
      <w:r w:rsidRPr="00846AC7">
        <w:rPr>
          <w:color w:val="000000" w:themeColor="text1"/>
          <w:lang w:eastAsia="fr-FR"/>
        </w:rPr>
        <w:t xml:space="preserve"> : </w:t>
      </w:r>
    </w:p>
    <w:p w14:paraId="5746F38B" w14:textId="77777777" w:rsidR="00607D4E" w:rsidRPr="00846AC7" w:rsidRDefault="00607D4E" w:rsidP="00607D4E">
      <w:pPr>
        <w:tabs>
          <w:tab w:val="left" w:pos="1276"/>
        </w:tabs>
        <w:spacing w:after="240"/>
        <w:ind w:left="720" w:right="720"/>
        <w:jc w:val="both"/>
        <w:rPr>
          <w:color w:val="000000" w:themeColor="text1"/>
          <w:sz w:val="20"/>
        </w:rPr>
      </w:pPr>
      <w:r w:rsidRPr="00846AC7">
        <w:rPr>
          <w:color w:val="000000" w:themeColor="text1"/>
          <w:sz w:val="20"/>
        </w:rPr>
        <w:t>[38]</w:t>
      </w:r>
      <w:r w:rsidRPr="00846AC7">
        <w:rPr>
          <w:color w:val="000000" w:themeColor="text1"/>
          <w:sz w:val="20"/>
        </w:rPr>
        <w:tab/>
        <w:t>[…] Pour obtenir gain de cause, la personne qui demande au tribunal d’exercer son pouvoir discrétionnaire de façon à limiter la présomption de publicité doit établir que :</w:t>
      </w:r>
    </w:p>
    <w:p w14:paraId="57F9EFCA" w14:textId="77777777" w:rsidR="00607D4E" w:rsidRPr="00846AC7" w:rsidRDefault="00607D4E" w:rsidP="001647E5">
      <w:pPr>
        <w:numPr>
          <w:ilvl w:val="0"/>
          <w:numId w:val="20"/>
        </w:numPr>
        <w:tabs>
          <w:tab w:val="left" w:pos="1701"/>
        </w:tabs>
        <w:spacing w:after="240"/>
        <w:ind w:left="1276" w:right="720" w:firstLine="0"/>
        <w:jc w:val="both"/>
        <w:rPr>
          <w:color w:val="000000" w:themeColor="text1"/>
          <w:sz w:val="20"/>
        </w:rPr>
      </w:pPr>
      <w:r w:rsidRPr="00846AC7">
        <w:rPr>
          <w:color w:val="000000" w:themeColor="text1"/>
          <w:sz w:val="20"/>
        </w:rPr>
        <w:t>la publicité des débats judiciaires pose un risque sérieux pour un intérêt public important;</w:t>
      </w:r>
    </w:p>
    <w:p w14:paraId="2A70FF7C" w14:textId="77777777" w:rsidR="00607D4E" w:rsidRPr="00846AC7" w:rsidRDefault="00607D4E" w:rsidP="00607D4E">
      <w:pPr>
        <w:tabs>
          <w:tab w:val="left" w:pos="1701"/>
        </w:tabs>
        <w:spacing w:after="240"/>
        <w:ind w:left="1276" w:right="720"/>
        <w:jc w:val="both"/>
        <w:rPr>
          <w:color w:val="000000" w:themeColor="text1"/>
          <w:sz w:val="20"/>
        </w:rPr>
      </w:pPr>
      <w:r w:rsidRPr="00846AC7">
        <w:rPr>
          <w:color w:val="000000" w:themeColor="text1"/>
          <w:sz w:val="20"/>
        </w:rPr>
        <w:t>2)</w:t>
      </w:r>
      <w:r w:rsidRPr="00846AC7">
        <w:rPr>
          <w:color w:val="000000" w:themeColor="text1"/>
          <w:sz w:val="20"/>
        </w:rPr>
        <w:tab/>
        <w:t>l’ordonnance sollicitée est nécessaire pour écarter ce risque sérieux pour l’intérêt mis en évidence, car d’autres mesures raisonnables ne permettront pas d’écarter ce risque; et</w:t>
      </w:r>
    </w:p>
    <w:p w14:paraId="4C060F7D" w14:textId="77777777" w:rsidR="00607D4E" w:rsidRPr="00846AC7" w:rsidRDefault="00607D4E" w:rsidP="00607D4E">
      <w:pPr>
        <w:tabs>
          <w:tab w:val="left" w:pos="1701"/>
        </w:tabs>
        <w:spacing w:after="360"/>
        <w:ind w:left="1276" w:right="720"/>
        <w:jc w:val="both"/>
        <w:rPr>
          <w:color w:val="000000" w:themeColor="text1"/>
          <w:sz w:val="20"/>
        </w:rPr>
      </w:pPr>
      <w:r w:rsidRPr="00846AC7">
        <w:rPr>
          <w:color w:val="000000" w:themeColor="text1"/>
          <w:sz w:val="20"/>
        </w:rPr>
        <w:t>3)</w:t>
      </w:r>
      <w:r w:rsidRPr="00846AC7">
        <w:rPr>
          <w:color w:val="000000" w:themeColor="text1"/>
          <w:sz w:val="20"/>
        </w:rPr>
        <w:tab/>
        <w:t>du point de vue de la proportionnalité, les avantages de l’ordonnance l’emportent sur ses effets négatifs.</w:t>
      </w:r>
    </w:p>
    <w:p w14:paraId="1F8D0747" w14:textId="77777777" w:rsidR="00607D4E" w:rsidRPr="00846AC7" w:rsidRDefault="00607D4E" w:rsidP="00607D4E">
      <w:pPr>
        <w:numPr>
          <w:ilvl w:val="0"/>
          <w:numId w:val="1"/>
        </w:numPr>
        <w:tabs>
          <w:tab w:val="clear" w:pos="360"/>
          <w:tab w:val="num" w:pos="720"/>
        </w:tabs>
        <w:spacing w:after="360"/>
        <w:jc w:val="both"/>
        <w:rPr>
          <w:rFonts w:cs="Arial"/>
          <w:color w:val="000000" w:themeColor="text1"/>
          <w:sz w:val="22"/>
          <w:szCs w:val="22"/>
        </w:rPr>
      </w:pPr>
      <w:r w:rsidRPr="00846AC7">
        <w:rPr>
          <w:rFonts w:cs="Arial"/>
          <w:color w:val="000000" w:themeColor="text1"/>
          <w:szCs w:val="24"/>
        </w:rPr>
        <w:t>C</w:t>
      </w:r>
      <w:r w:rsidRPr="00846AC7">
        <w:rPr>
          <w:rFonts w:cs="Arial"/>
          <w:i/>
          <w:color w:val="000000" w:themeColor="text1"/>
          <w:sz w:val="22"/>
          <w:szCs w:val="22"/>
        </w:rPr>
        <w:t xml:space="preserve">es </w:t>
      </w:r>
      <w:r w:rsidRPr="00846AC7">
        <w:rPr>
          <w:rFonts w:cs="Arial"/>
          <w:color w:val="000000" w:themeColor="text1"/>
          <w:szCs w:val="24"/>
        </w:rPr>
        <w:t xml:space="preserve">trois conditions doivent être </w:t>
      </w:r>
      <w:r w:rsidR="00FF5CD0">
        <w:rPr>
          <w:rFonts w:cs="Arial"/>
          <w:color w:val="000000" w:themeColor="text1"/>
          <w:szCs w:val="24"/>
        </w:rPr>
        <w:t xml:space="preserve">remplies </w:t>
      </w:r>
      <w:r w:rsidR="001647E5">
        <w:rPr>
          <w:rFonts w:cs="Arial"/>
          <w:color w:val="000000" w:themeColor="text1"/>
          <w:szCs w:val="24"/>
        </w:rPr>
        <w:t xml:space="preserve">pour obtenir gain de cause </w:t>
      </w:r>
      <w:r w:rsidRPr="00846AC7">
        <w:rPr>
          <w:rFonts w:cs="Arial"/>
          <w:color w:val="000000" w:themeColor="text1"/>
          <w:szCs w:val="24"/>
        </w:rPr>
        <w:t xml:space="preserve">et c’est à la personne qui demande </w:t>
      </w:r>
      <w:r w:rsidR="001647E5">
        <w:rPr>
          <w:rFonts w:cs="Arial"/>
          <w:color w:val="000000" w:themeColor="text1"/>
          <w:szCs w:val="24"/>
        </w:rPr>
        <w:t xml:space="preserve">l’ordonnance </w:t>
      </w:r>
      <w:r w:rsidR="00FF5CD0">
        <w:rPr>
          <w:rFonts w:cs="Arial"/>
          <w:color w:val="000000" w:themeColor="text1"/>
          <w:szCs w:val="24"/>
        </w:rPr>
        <w:t>d’assumer le fardeau de</w:t>
      </w:r>
      <w:r w:rsidRPr="00846AC7">
        <w:rPr>
          <w:rFonts w:cs="Arial"/>
          <w:color w:val="000000" w:themeColor="text1"/>
          <w:szCs w:val="24"/>
        </w:rPr>
        <w:t xml:space="preserve"> la preuve</w:t>
      </w:r>
      <w:r w:rsidRPr="00846AC7">
        <w:rPr>
          <w:color w:val="000000" w:themeColor="text1"/>
          <w:vertAlign w:val="superscript"/>
        </w:rPr>
        <w:footnoteReference w:id="33"/>
      </w:r>
      <w:r w:rsidRPr="00846AC7">
        <w:rPr>
          <w:rFonts w:cs="Arial"/>
          <w:color w:val="000000" w:themeColor="text1"/>
          <w:szCs w:val="24"/>
        </w:rPr>
        <w:t>. </w:t>
      </w:r>
      <w:r w:rsidRPr="00846AC7">
        <w:rPr>
          <w:rFonts w:cs="Arial"/>
          <w:i/>
          <w:color w:val="000000" w:themeColor="text1"/>
          <w:szCs w:val="24"/>
        </w:rPr>
        <w:t xml:space="preserve"> </w:t>
      </w:r>
    </w:p>
    <w:p w14:paraId="005CF29B" w14:textId="1829A7BB" w:rsidR="00FE5DF1" w:rsidRPr="00846AC7" w:rsidRDefault="00846AC7" w:rsidP="00846AC7">
      <w:pPr>
        <w:pStyle w:val="corpsdedcision"/>
        <w:rPr>
          <w:color w:val="000000" w:themeColor="text1"/>
          <w:lang w:eastAsia="fr-FR"/>
        </w:rPr>
      </w:pPr>
      <w:r w:rsidRPr="00846AC7">
        <w:rPr>
          <w:color w:val="000000" w:themeColor="text1"/>
          <w:lang w:eastAsia="fr-FR"/>
        </w:rPr>
        <w:t xml:space="preserve">Dans l’affaire </w:t>
      </w:r>
      <w:r w:rsidRPr="00846AC7">
        <w:rPr>
          <w:i/>
          <w:color w:val="000000" w:themeColor="text1"/>
          <w:lang w:eastAsia="fr-FR"/>
        </w:rPr>
        <w:t>Option Consommateurs</w:t>
      </w:r>
      <w:r w:rsidRPr="00846AC7">
        <w:rPr>
          <w:color w:val="000000" w:themeColor="text1"/>
          <w:lang w:eastAsia="fr-FR"/>
        </w:rPr>
        <w:t xml:space="preserve"> c. </w:t>
      </w:r>
      <w:r w:rsidRPr="00846AC7">
        <w:rPr>
          <w:i/>
          <w:color w:val="000000" w:themeColor="text1"/>
          <w:lang w:eastAsia="fr-FR"/>
        </w:rPr>
        <w:t>Société des loteries du Québec (Loto</w:t>
      </w:r>
      <w:r w:rsidR="00243216">
        <w:rPr>
          <w:i/>
          <w:color w:val="000000" w:themeColor="text1"/>
          <w:lang w:eastAsia="fr-FR"/>
        </w:rPr>
        <w:noBreakHyphen/>
      </w:r>
      <w:r w:rsidRPr="00846AC7">
        <w:rPr>
          <w:i/>
          <w:color w:val="000000" w:themeColor="text1"/>
          <w:lang w:eastAsia="fr-FR"/>
        </w:rPr>
        <w:t>Québec)</w:t>
      </w:r>
      <w:r w:rsidRPr="007D6CBA">
        <w:rPr>
          <w:rStyle w:val="Appelnotedebasdep"/>
          <w:color w:val="000000" w:themeColor="text1"/>
          <w:lang w:eastAsia="fr-FR"/>
        </w:rPr>
        <w:footnoteReference w:id="34"/>
      </w:r>
      <w:r w:rsidRPr="00846AC7">
        <w:rPr>
          <w:i/>
          <w:color w:val="000000" w:themeColor="text1"/>
          <w:lang w:eastAsia="fr-FR"/>
        </w:rPr>
        <w:t xml:space="preserve">, </w:t>
      </w:r>
      <w:r w:rsidRPr="00846AC7">
        <w:rPr>
          <w:color w:val="000000" w:themeColor="text1"/>
          <w:lang w:eastAsia="fr-FR"/>
        </w:rPr>
        <w:t xml:space="preserve">la </w:t>
      </w:r>
      <w:r>
        <w:rPr>
          <w:color w:val="000000" w:themeColor="text1"/>
          <w:lang w:eastAsia="fr-FR"/>
        </w:rPr>
        <w:t xml:space="preserve">juge Mainville de la </w:t>
      </w:r>
      <w:r w:rsidRPr="00846AC7">
        <w:rPr>
          <w:color w:val="000000" w:themeColor="text1"/>
          <w:lang w:eastAsia="fr-FR"/>
        </w:rPr>
        <w:t xml:space="preserve">Cour </w:t>
      </w:r>
      <w:r>
        <w:rPr>
          <w:color w:val="000000" w:themeColor="text1"/>
          <w:lang w:eastAsia="fr-FR"/>
        </w:rPr>
        <w:t xml:space="preserve">supérieure </w:t>
      </w:r>
      <w:r w:rsidRPr="00846AC7">
        <w:rPr>
          <w:color w:val="000000" w:themeColor="text1"/>
          <w:lang w:eastAsia="fr-FR"/>
        </w:rPr>
        <w:t>cite</w:t>
      </w:r>
      <w:r w:rsidR="007A74C3">
        <w:rPr>
          <w:color w:val="000000" w:themeColor="text1"/>
          <w:lang w:eastAsia="fr-FR"/>
        </w:rPr>
        <w:t>,</w:t>
      </w:r>
      <w:r w:rsidRPr="00846AC7">
        <w:rPr>
          <w:color w:val="000000" w:themeColor="text1"/>
          <w:lang w:eastAsia="fr-FR"/>
        </w:rPr>
        <w:t xml:space="preserve"> avec approbation</w:t>
      </w:r>
      <w:r w:rsidR="007A74C3">
        <w:rPr>
          <w:color w:val="000000" w:themeColor="text1"/>
          <w:lang w:eastAsia="fr-FR"/>
        </w:rPr>
        <w:t>,</w:t>
      </w:r>
      <w:r w:rsidRPr="00846AC7">
        <w:rPr>
          <w:color w:val="000000" w:themeColor="text1"/>
          <w:lang w:eastAsia="fr-FR"/>
        </w:rPr>
        <w:t xml:space="preserve"> </w:t>
      </w:r>
      <w:r w:rsidR="007A74C3">
        <w:rPr>
          <w:color w:val="000000" w:themeColor="text1"/>
          <w:lang w:eastAsia="fr-FR"/>
        </w:rPr>
        <w:t>une décision du</w:t>
      </w:r>
      <w:r w:rsidR="00FE5DF1" w:rsidRPr="00846AC7">
        <w:rPr>
          <w:color w:val="000000" w:themeColor="text1"/>
          <w:lang w:eastAsia="fr-FR"/>
        </w:rPr>
        <w:t xml:space="preserve"> juge </w:t>
      </w:r>
      <w:proofErr w:type="spellStart"/>
      <w:r w:rsidR="00FE5DF1" w:rsidRPr="00846AC7">
        <w:rPr>
          <w:color w:val="000000" w:themeColor="text1"/>
          <w:lang w:eastAsia="fr-FR"/>
        </w:rPr>
        <w:t>Immer</w:t>
      </w:r>
      <w:proofErr w:type="spellEnd"/>
      <w:r w:rsidRPr="00846AC7">
        <w:rPr>
          <w:color w:val="000000" w:themeColor="text1"/>
          <w:lang w:eastAsia="fr-FR"/>
        </w:rPr>
        <w:t xml:space="preserve"> </w:t>
      </w:r>
      <w:r>
        <w:rPr>
          <w:color w:val="000000" w:themeColor="text1"/>
          <w:lang w:eastAsia="fr-FR"/>
        </w:rPr>
        <w:t xml:space="preserve">de cette </w:t>
      </w:r>
      <w:r w:rsidR="00FE5DF1" w:rsidRPr="00846AC7">
        <w:rPr>
          <w:color w:val="000000" w:themeColor="text1"/>
          <w:lang w:eastAsia="fr-FR"/>
        </w:rPr>
        <w:t>Cour</w:t>
      </w:r>
      <w:r w:rsidR="007A74C3">
        <w:rPr>
          <w:color w:val="000000" w:themeColor="text1"/>
          <w:lang w:eastAsia="fr-FR"/>
        </w:rPr>
        <w:t xml:space="preserve"> qui</w:t>
      </w:r>
      <w:r w:rsidRPr="00846AC7">
        <w:rPr>
          <w:color w:val="000000" w:themeColor="text1"/>
          <w:lang w:eastAsia="fr-FR"/>
        </w:rPr>
        <w:t xml:space="preserve"> transpose </w:t>
      </w:r>
      <w:r w:rsidR="00FE5DF1" w:rsidRPr="00846AC7">
        <w:rPr>
          <w:color w:val="000000" w:themeColor="text1"/>
          <w:lang w:eastAsia="fr-FR"/>
        </w:rPr>
        <w:t xml:space="preserve">l’arrêt </w:t>
      </w:r>
      <w:r w:rsidR="00FE5DF1" w:rsidRPr="00846AC7">
        <w:rPr>
          <w:i/>
          <w:color w:val="000000" w:themeColor="text1"/>
          <w:lang w:eastAsia="fr-FR"/>
        </w:rPr>
        <w:t>Sherman</w:t>
      </w:r>
      <w:r w:rsidR="00FE5DF1" w:rsidRPr="00846AC7">
        <w:rPr>
          <w:color w:val="000000" w:themeColor="text1"/>
          <w:lang w:eastAsia="fr-FR"/>
        </w:rPr>
        <w:t xml:space="preserve"> </w:t>
      </w:r>
      <w:r w:rsidR="0088712E" w:rsidRPr="00846AC7">
        <w:rPr>
          <w:color w:val="000000" w:themeColor="text1"/>
          <w:lang w:eastAsia="fr-FR"/>
        </w:rPr>
        <w:t>en matière</w:t>
      </w:r>
      <w:r w:rsidR="00FE5DF1" w:rsidRPr="00846AC7">
        <w:rPr>
          <w:color w:val="000000" w:themeColor="text1"/>
          <w:lang w:eastAsia="fr-FR"/>
        </w:rPr>
        <w:t xml:space="preserve"> commerciale</w:t>
      </w:r>
      <w:r w:rsidR="00FE5DF1" w:rsidRPr="00846AC7">
        <w:rPr>
          <w:rStyle w:val="Appelnotedebasdep"/>
          <w:color w:val="000000" w:themeColor="text1"/>
          <w:lang w:eastAsia="fr-FR"/>
        </w:rPr>
        <w:footnoteReference w:id="35"/>
      </w:r>
      <w:r w:rsidR="00FE5DF1" w:rsidRPr="00846AC7">
        <w:rPr>
          <w:color w:val="000000" w:themeColor="text1"/>
          <w:lang w:eastAsia="fr-FR"/>
        </w:rPr>
        <w:t xml:space="preserve"> : </w:t>
      </w:r>
    </w:p>
    <w:p w14:paraId="08D3E68D" w14:textId="77777777" w:rsidR="00FE5DF1" w:rsidRPr="00FE5DF1" w:rsidRDefault="00FE5DF1" w:rsidP="00FE5DF1">
      <w:pPr>
        <w:pStyle w:val="citation"/>
        <w:rPr>
          <w:lang w:eastAsia="fr-FR"/>
        </w:rPr>
      </w:pPr>
      <w:r w:rsidRPr="00FE5DF1">
        <w:rPr>
          <w:lang w:eastAsia="fr-FR"/>
        </w:rPr>
        <w:t xml:space="preserve">[32] </w:t>
      </w:r>
      <w:r w:rsidRPr="00FE5DF1">
        <w:rPr>
          <w:i/>
          <w:iCs/>
          <w:lang w:eastAsia="fr-FR"/>
        </w:rPr>
        <w:t>Sherman</w:t>
      </w:r>
      <w:r w:rsidRPr="00FE5DF1">
        <w:rPr>
          <w:lang w:eastAsia="fr-FR"/>
        </w:rPr>
        <w:t xml:space="preserve"> n’est pas parfaitement transposable à un litige commercial comme celui en l’instance où il est question de renseignements commerciaux plutôt que de la vie privée d’individus. Le Tribunal tire néanmoins les constats suivants : </w:t>
      </w:r>
    </w:p>
    <w:p w14:paraId="44405237" w14:textId="77777777" w:rsidR="002C6122" w:rsidRDefault="002C6122" w:rsidP="00FE5DF1">
      <w:pPr>
        <w:pStyle w:val="citation"/>
        <w:rPr>
          <w:lang w:eastAsia="fr-FR"/>
        </w:rPr>
      </w:pPr>
    </w:p>
    <w:p w14:paraId="729EE986" w14:textId="77777777" w:rsidR="00FE5DF1" w:rsidRDefault="00FE5DF1" w:rsidP="00FE5DF1">
      <w:pPr>
        <w:pStyle w:val="citation"/>
        <w:ind w:left="1418"/>
        <w:rPr>
          <w:lang w:eastAsia="fr-FR"/>
        </w:rPr>
      </w:pPr>
      <w:r w:rsidRPr="00FE5DF1">
        <w:rPr>
          <w:lang w:eastAsia="fr-FR"/>
        </w:rPr>
        <w:t xml:space="preserve">32.1   Les renseignements commerciaux sensibles peuvent constituer un intérêt important au sens du premier critère de </w:t>
      </w:r>
      <w:r w:rsidRPr="00FE5DF1">
        <w:rPr>
          <w:i/>
          <w:iCs/>
          <w:lang w:eastAsia="fr-FR"/>
        </w:rPr>
        <w:t>Sherman</w:t>
      </w:r>
      <w:r w:rsidRPr="00FE5DF1">
        <w:rPr>
          <w:lang w:eastAsia="fr-FR"/>
        </w:rPr>
        <w:t xml:space="preserve">, </w:t>
      </w:r>
      <w:r w:rsidRPr="007A74C3">
        <w:rPr>
          <w:u w:val="single"/>
          <w:lang w:eastAsia="fr-FR"/>
        </w:rPr>
        <w:t xml:space="preserve">mais l’interprétation restrictive qui prévalait avant </w:t>
      </w:r>
      <w:r w:rsidRPr="007A74C3">
        <w:rPr>
          <w:i/>
          <w:iCs/>
          <w:u w:val="single"/>
          <w:lang w:eastAsia="fr-FR"/>
        </w:rPr>
        <w:t>Sherman</w:t>
      </w:r>
      <w:r w:rsidRPr="007A74C3">
        <w:rPr>
          <w:u w:val="single"/>
          <w:lang w:eastAsia="fr-FR"/>
        </w:rPr>
        <w:t xml:space="preserve"> demeure clairement d’actualité</w:t>
      </w:r>
      <w:r w:rsidRPr="00FE5DF1">
        <w:rPr>
          <w:lang w:eastAsia="fr-FR"/>
        </w:rPr>
        <w:t>.</w:t>
      </w:r>
    </w:p>
    <w:p w14:paraId="5571BDA1" w14:textId="77777777" w:rsidR="00FE5DF1" w:rsidRPr="00FE5DF1" w:rsidRDefault="00FE5DF1" w:rsidP="00FE5DF1">
      <w:pPr>
        <w:pStyle w:val="citation"/>
        <w:ind w:left="1418"/>
        <w:rPr>
          <w:lang w:eastAsia="fr-FR"/>
        </w:rPr>
      </w:pPr>
      <w:r w:rsidRPr="00FE5DF1">
        <w:rPr>
          <w:lang w:eastAsia="fr-FR"/>
        </w:rPr>
        <w:t xml:space="preserve">  </w:t>
      </w:r>
    </w:p>
    <w:p w14:paraId="07849E63" w14:textId="77777777" w:rsidR="00FE5DF1" w:rsidRDefault="00FE5DF1" w:rsidP="00FE5DF1">
      <w:pPr>
        <w:pStyle w:val="citation"/>
        <w:ind w:left="1418"/>
        <w:rPr>
          <w:lang w:eastAsia="fr-FR"/>
        </w:rPr>
      </w:pPr>
      <w:r w:rsidRPr="00FE5DF1">
        <w:rPr>
          <w:lang w:eastAsia="fr-FR"/>
        </w:rPr>
        <w:t xml:space="preserve">32.2 Puisque l’atteinte à la vie privée de l’individu ne suffit pas pour constituer un « intérêt légitime important » et qu’une atteinte à la dignité est requise pour justifier </w:t>
      </w:r>
      <w:r w:rsidRPr="00FE5DF1">
        <w:rPr>
          <w:lang w:eastAsia="fr-FR"/>
        </w:rPr>
        <w:lastRenderedPageBreak/>
        <w:t xml:space="preserve">des ordonnances, à titre de corollaire, ce ne sont pas toutes données financières ou renseignements commerciaux qui constituent un intérêt public important, </w:t>
      </w:r>
      <w:r w:rsidRPr="007A74C3">
        <w:rPr>
          <w:u w:val="single"/>
          <w:lang w:eastAsia="fr-FR"/>
        </w:rPr>
        <w:t>mais bien seulement les renseignements de grande valeur.</w:t>
      </w:r>
      <w:r w:rsidRPr="00FE5DF1">
        <w:rPr>
          <w:lang w:eastAsia="fr-FR"/>
        </w:rPr>
        <w:t xml:space="preserve">  </w:t>
      </w:r>
    </w:p>
    <w:p w14:paraId="05BCE7BA" w14:textId="77777777" w:rsidR="00FE5DF1" w:rsidRPr="00FE5DF1" w:rsidRDefault="00FE5DF1" w:rsidP="00FE5DF1">
      <w:pPr>
        <w:pStyle w:val="citation"/>
        <w:ind w:left="1418"/>
        <w:rPr>
          <w:lang w:eastAsia="fr-FR"/>
        </w:rPr>
      </w:pPr>
    </w:p>
    <w:p w14:paraId="3B12810B" w14:textId="77777777" w:rsidR="00FE5DF1" w:rsidRDefault="00FE5DF1" w:rsidP="00FE5DF1">
      <w:pPr>
        <w:pStyle w:val="citation"/>
        <w:ind w:left="1418"/>
        <w:rPr>
          <w:lang w:eastAsia="fr-FR"/>
        </w:rPr>
      </w:pPr>
      <w:r w:rsidRPr="00FE5DF1">
        <w:rPr>
          <w:lang w:eastAsia="fr-FR"/>
        </w:rPr>
        <w:t xml:space="preserve">32.3 Pour paraphraser </w:t>
      </w:r>
      <w:r w:rsidRPr="00FE5DF1">
        <w:rPr>
          <w:i/>
          <w:iCs/>
          <w:lang w:eastAsia="fr-FR"/>
        </w:rPr>
        <w:t>Sherman</w:t>
      </w:r>
      <w:r w:rsidRPr="00FE5DF1">
        <w:rPr>
          <w:lang w:eastAsia="fr-FR"/>
        </w:rPr>
        <w:t xml:space="preserve">, le caractère sensible des renseignements </w:t>
      </w:r>
      <w:r w:rsidRPr="007A74C3">
        <w:rPr>
          <w:u w:val="single"/>
          <w:lang w:eastAsia="fr-FR"/>
        </w:rPr>
        <w:t>doit toucher la partie la plus névralgique de l’entreprise</w:t>
      </w:r>
      <w:r w:rsidRPr="00FE5DF1">
        <w:rPr>
          <w:lang w:eastAsia="fr-FR"/>
        </w:rPr>
        <w:t xml:space="preserve">, tout comme pour l’individu, les renseignements sur sa vie privée doivent toucher « l’aspect le plus intime » de cet individu.  </w:t>
      </w:r>
    </w:p>
    <w:p w14:paraId="4FED5EDC" w14:textId="77777777" w:rsidR="00FE5DF1" w:rsidRPr="00FE5DF1" w:rsidRDefault="00FE5DF1" w:rsidP="00FE5DF1">
      <w:pPr>
        <w:pStyle w:val="citation"/>
        <w:ind w:left="1418"/>
        <w:rPr>
          <w:lang w:eastAsia="fr-FR"/>
        </w:rPr>
      </w:pPr>
    </w:p>
    <w:p w14:paraId="605CEBEC" w14:textId="77777777" w:rsidR="00FE5DF1" w:rsidRDefault="00FE5DF1" w:rsidP="00FE5DF1">
      <w:pPr>
        <w:pStyle w:val="citation"/>
        <w:ind w:left="1418"/>
        <w:rPr>
          <w:lang w:eastAsia="fr-FR"/>
        </w:rPr>
      </w:pPr>
      <w:r w:rsidRPr="00FE5DF1">
        <w:rPr>
          <w:lang w:eastAsia="fr-FR"/>
        </w:rPr>
        <w:t xml:space="preserve">32.4   Les renseignements « révélant peu » sur l’entreprise ne peuvent pas être protégés. </w:t>
      </w:r>
    </w:p>
    <w:p w14:paraId="67D399F1" w14:textId="77777777" w:rsidR="00FE5DF1" w:rsidRPr="00FE5DF1" w:rsidRDefault="00FE5DF1" w:rsidP="00FE5DF1">
      <w:pPr>
        <w:pStyle w:val="citation"/>
        <w:ind w:left="1418"/>
        <w:rPr>
          <w:lang w:eastAsia="fr-FR"/>
        </w:rPr>
      </w:pPr>
      <w:r w:rsidRPr="00FE5DF1">
        <w:rPr>
          <w:lang w:eastAsia="fr-FR"/>
        </w:rPr>
        <w:t xml:space="preserve"> </w:t>
      </w:r>
    </w:p>
    <w:p w14:paraId="3BC5B141" w14:textId="77777777" w:rsidR="00FE5DF1" w:rsidRPr="00FE5DF1" w:rsidRDefault="00FE5DF1" w:rsidP="00FE5DF1">
      <w:pPr>
        <w:pStyle w:val="citation"/>
        <w:ind w:left="1418"/>
        <w:rPr>
          <w:lang w:eastAsia="fr-FR"/>
        </w:rPr>
      </w:pPr>
      <w:r w:rsidRPr="00FE5DF1">
        <w:rPr>
          <w:lang w:eastAsia="fr-FR"/>
        </w:rPr>
        <w:t xml:space="preserve">32.5  Les intérêts commerciaux qui sont à protéger doivent intéresser la société dans son ensemble et non seulement la partie qui cherche des mesures de protection.  </w:t>
      </w:r>
    </w:p>
    <w:p w14:paraId="2A2DEA60" w14:textId="77777777" w:rsidR="00FE5DF1" w:rsidRDefault="00FE5DF1" w:rsidP="00FE5DF1">
      <w:pPr>
        <w:pStyle w:val="citation"/>
        <w:ind w:left="1418"/>
        <w:rPr>
          <w:lang w:eastAsia="fr-FR"/>
        </w:rPr>
      </w:pPr>
    </w:p>
    <w:p w14:paraId="13CD3D51" w14:textId="17EACC6E" w:rsidR="007A74C3" w:rsidRPr="007A74C3" w:rsidRDefault="007A74C3" w:rsidP="00AE36B4">
      <w:pPr>
        <w:spacing w:after="360"/>
        <w:ind w:left="709"/>
        <w:rPr>
          <w:color w:val="000000" w:themeColor="text1"/>
          <w:lang w:eastAsia="fr-FR"/>
        </w:rPr>
      </w:pPr>
      <w:r w:rsidRPr="007A74C3">
        <w:rPr>
          <w:color w:val="000000" w:themeColor="text1"/>
          <w:lang w:eastAsia="fr-FR"/>
        </w:rPr>
        <w:t>[Nos soulignements]</w:t>
      </w:r>
    </w:p>
    <w:p w14:paraId="43B611E2" w14:textId="77777777" w:rsidR="007A74C3" w:rsidRPr="007A74C3" w:rsidRDefault="004071BB" w:rsidP="00FA5900">
      <w:pPr>
        <w:numPr>
          <w:ilvl w:val="0"/>
          <w:numId w:val="1"/>
        </w:numPr>
        <w:tabs>
          <w:tab w:val="clear" w:pos="360"/>
          <w:tab w:val="num" w:pos="720"/>
        </w:tabs>
        <w:spacing w:after="240"/>
        <w:jc w:val="both"/>
        <w:rPr>
          <w:rFonts w:cs="Arial"/>
          <w:color w:val="000000" w:themeColor="text1"/>
          <w:sz w:val="22"/>
          <w:szCs w:val="22"/>
        </w:rPr>
      </w:pPr>
      <w:r w:rsidRPr="007A74C3">
        <w:rPr>
          <w:color w:val="000000" w:themeColor="text1"/>
          <w:lang w:eastAsia="fr-FR"/>
        </w:rPr>
        <w:t xml:space="preserve">L’objectif </w:t>
      </w:r>
      <w:r w:rsidR="002C6122" w:rsidRPr="007A74C3">
        <w:rPr>
          <w:color w:val="000000" w:themeColor="text1"/>
          <w:lang w:eastAsia="fr-FR"/>
        </w:rPr>
        <w:t>d’une ordonnance de confidentialité est de permettre la production d’informations pertinentes au Tribunal aux fins de trancher un litige, et ce, sans que le public y ait accès</w:t>
      </w:r>
      <w:r w:rsidR="002C6122" w:rsidRPr="007A74C3">
        <w:rPr>
          <w:color w:val="000000" w:themeColor="text1"/>
          <w:vertAlign w:val="superscript"/>
          <w:lang w:eastAsia="fr-FR"/>
        </w:rPr>
        <w:footnoteReference w:id="36"/>
      </w:r>
      <w:r w:rsidR="002C6122" w:rsidRPr="007A74C3">
        <w:rPr>
          <w:color w:val="000000" w:themeColor="text1"/>
          <w:lang w:eastAsia="fr-FR"/>
        </w:rPr>
        <w:t xml:space="preserve">. </w:t>
      </w:r>
    </w:p>
    <w:p w14:paraId="3AD8F38D" w14:textId="77777777" w:rsidR="00DA493E" w:rsidRPr="007A74C3" w:rsidRDefault="007A74C3" w:rsidP="00FA5900">
      <w:pPr>
        <w:numPr>
          <w:ilvl w:val="0"/>
          <w:numId w:val="1"/>
        </w:numPr>
        <w:tabs>
          <w:tab w:val="clear" w:pos="360"/>
          <w:tab w:val="num" w:pos="720"/>
        </w:tabs>
        <w:spacing w:after="240"/>
        <w:jc w:val="both"/>
        <w:rPr>
          <w:rFonts w:cs="Arial"/>
          <w:color w:val="000000" w:themeColor="text1"/>
          <w:sz w:val="22"/>
          <w:szCs w:val="22"/>
        </w:rPr>
      </w:pPr>
      <w:r w:rsidRPr="007A74C3">
        <w:rPr>
          <w:color w:val="000000" w:themeColor="text1"/>
          <w:lang w:eastAsia="fr-FR"/>
        </w:rPr>
        <w:t xml:space="preserve">Dans le présent cas, </w:t>
      </w:r>
      <w:r w:rsidR="00D60AD3" w:rsidRPr="007A74C3">
        <w:rPr>
          <w:color w:val="000000" w:themeColor="text1"/>
          <w:lang w:eastAsia="fr-FR"/>
        </w:rPr>
        <w:t xml:space="preserve">le Tribunal a permis à l’employeur, avec l’accord du syndicat, de produire une version caviardée des documents contractuels le liant à Hydro-Québec, de manière à ce que seules les informations pertinentes pour trancher la question en litige soient versées au dossier. </w:t>
      </w:r>
      <w:r w:rsidR="002C6122" w:rsidRPr="007A74C3">
        <w:rPr>
          <w:color w:val="000000" w:themeColor="text1"/>
          <w:lang w:eastAsia="fr-FR"/>
        </w:rPr>
        <w:t xml:space="preserve">La demande de </w:t>
      </w:r>
      <w:r w:rsidR="00D60AD3" w:rsidRPr="007A74C3">
        <w:rPr>
          <w:color w:val="000000" w:themeColor="text1"/>
          <w:lang w:eastAsia="fr-FR"/>
        </w:rPr>
        <w:t xml:space="preserve">confidentialité de </w:t>
      </w:r>
      <w:r w:rsidR="002C6122" w:rsidRPr="007A74C3">
        <w:rPr>
          <w:color w:val="000000" w:themeColor="text1"/>
          <w:lang w:eastAsia="fr-FR"/>
        </w:rPr>
        <w:t xml:space="preserve">l’employeur </w:t>
      </w:r>
      <w:r w:rsidR="00D60AD3" w:rsidRPr="007A74C3">
        <w:rPr>
          <w:color w:val="000000" w:themeColor="text1"/>
          <w:lang w:eastAsia="fr-FR"/>
        </w:rPr>
        <w:t xml:space="preserve">porte donc sur </w:t>
      </w:r>
      <w:r w:rsidR="0088712E" w:rsidRPr="007A74C3">
        <w:rPr>
          <w:color w:val="000000" w:themeColor="text1"/>
          <w:lang w:eastAsia="fr-FR"/>
        </w:rPr>
        <w:t>ces seuls renseignements</w:t>
      </w:r>
      <w:r w:rsidR="00D60AD3" w:rsidRPr="007A74C3">
        <w:rPr>
          <w:color w:val="000000" w:themeColor="text1"/>
          <w:lang w:eastAsia="fr-FR"/>
        </w:rPr>
        <w:t>.</w:t>
      </w:r>
    </w:p>
    <w:p w14:paraId="30044A01" w14:textId="5576EC29" w:rsidR="00DA493E" w:rsidRPr="000D4F66" w:rsidRDefault="007A74C3" w:rsidP="00FA5900">
      <w:pPr>
        <w:numPr>
          <w:ilvl w:val="0"/>
          <w:numId w:val="1"/>
        </w:numPr>
        <w:tabs>
          <w:tab w:val="clear" w:pos="360"/>
          <w:tab w:val="num" w:pos="720"/>
        </w:tabs>
        <w:spacing w:after="240"/>
        <w:jc w:val="both"/>
        <w:rPr>
          <w:rFonts w:cs="Arial"/>
          <w:color w:val="000000" w:themeColor="text1"/>
          <w:sz w:val="22"/>
          <w:szCs w:val="22"/>
        </w:rPr>
      </w:pPr>
      <w:r w:rsidRPr="007A74C3">
        <w:rPr>
          <w:color w:val="000000" w:themeColor="text1"/>
        </w:rPr>
        <w:t>Invoquant la clause de confidentialité</w:t>
      </w:r>
      <w:r w:rsidR="00DA493E" w:rsidRPr="007A74C3">
        <w:rPr>
          <w:color w:val="000000" w:themeColor="text1"/>
        </w:rPr>
        <w:t xml:space="preserve"> reproduite au paragraphe </w:t>
      </w:r>
      <w:r w:rsidR="00DA493E" w:rsidRPr="007D6CBA">
        <w:rPr>
          <w:color w:val="000000" w:themeColor="text1"/>
        </w:rPr>
        <w:t>4</w:t>
      </w:r>
      <w:r w:rsidR="00BB7D61">
        <w:rPr>
          <w:color w:val="000000" w:themeColor="text1"/>
        </w:rPr>
        <w:t>1</w:t>
      </w:r>
      <w:r w:rsidR="00DA493E" w:rsidRPr="007A74C3">
        <w:rPr>
          <w:color w:val="000000" w:themeColor="text1"/>
        </w:rPr>
        <w:t xml:space="preserve"> de la présente</w:t>
      </w:r>
      <w:r w:rsidRPr="007A74C3">
        <w:rPr>
          <w:color w:val="000000" w:themeColor="text1"/>
        </w:rPr>
        <w:t xml:space="preserve">, </w:t>
      </w:r>
      <w:r w:rsidRPr="000D4F66">
        <w:rPr>
          <w:color w:val="000000" w:themeColor="text1"/>
          <w:lang w:eastAsia="fr-FR"/>
        </w:rPr>
        <w:t>l</w:t>
      </w:r>
      <w:r w:rsidRPr="000D4F66">
        <w:rPr>
          <w:color w:val="000000" w:themeColor="text1"/>
        </w:rPr>
        <w:t xml:space="preserve">’employeur affirme </w:t>
      </w:r>
      <w:r w:rsidR="007209AC">
        <w:rPr>
          <w:color w:val="000000" w:themeColor="text1"/>
        </w:rPr>
        <w:t xml:space="preserve">que </w:t>
      </w:r>
      <w:r w:rsidRPr="000D4F66">
        <w:rPr>
          <w:color w:val="000000" w:themeColor="text1"/>
        </w:rPr>
        <w:t xml:space="preserve">ceux-ci sont confidentiels. </w:t>
      </w:r>
      <w:r w:rsidR="00DA493E" w:rsidRPr="000D4F66">
        <w:rPr>
          <w:color w:val="000000" w:themeColor="text1"/>
        </w:rPr>
        <w:t xml:space="preserve"> </w:t>
      </w:r>
    </w:p>
    <w:p w14:paraId="2F97E3C7" w14:textId="66676522" w:rsidR="00DA493E" w:rsidRPr="000D4F66" w:rsidRDefault="00DA493E" w:rsidP="00DA493E">
      <w:pPr>
        <w:numPr>
          <w:ilvl w:val="0"/>
          <w:numId w:val="1"/>
        </w:numPr>
        <w:tabs>
          <w:tab w:val="clear" w:pos="360"/>
          <w:tab w:val="num" w:pos="720"/>
        </w:tabs>
        <w:spacing w:after="240"/>
        <w:jc w:val="both"/>
        <w:rPr>
          <w:color w:val="000000" w:themeColor="text1"/>
        </w:rPr>
      </w:pPr>
      <w:r w:rsidRPr="000D4F66">
        <w:rPr>
          <w:color w:val="000000" w:themeColor="text1"/>
        </w:rPr>
        <w:t>Dans l’</w:t>
      </w:r>
      <w:r w:rsidR="007A74C3" w:rsidRPr="000D4F66">
        <w:rPr>
          <w:color w:val="000000" w:themeColor="text1"/>
        </w:rPr>
        <w:t>arrêt</w:t>
      </w:r>
      <w:r w:rsidRPr="000D4F66">
        <w:rPr>
          <w:color w:val="000000" w:themeColor="text1"/>
        </w:rPr>
        <w:t xml:space="preserve"> </w:t>
      </w:r>
      <w:r w:rsidRPr="000D4F66">
        <w:rPr>
          <w:i/>
          <w:iCs/>
          <w:color w:val="000000" w:themeColor="text1"/>
        </w:rPr>
        <w:t>Sierra Club du Canada</w:t>
      </w:r>
      <w:r w:rsidRPr="000D4F66">
        <w:rPr>
          <w:color w:val="000000" w:themeColor="text1"/>
        </w:rPr>
        <w:t xml:space="preserve"> c. </w:t>
      </w:r>
      <w:r w:rsidRPr="000D4F66">
        <w:rPr>
          <w:i/>
          <w:iCs/>
          <w:color w:val="000000" w:themeColor="text1"/>
        </w:rPr>
        <w:t>Canada (Ministre des Finances)</w:t>
      </w:r>
      <w:r w:rsidRPr="00AE36B4">
        <w:rPr>
          <w:rStyle w:val="Appelnotedebasdep"/>
          <w:iCs/>
          <w:color w:val="000000" w:themeColor="text1"/>
        </w:rPr>
        <w:footnoteReference w:id="37"/>
      </w:r>
      <w:r w:rsidRPr="000D4F66">
        <w:rPr>
          <w:color w:val="000000" w:themeColor="text1"/>
        </w:rPr>
        <w:t xml:space="preserve">, la Cour </w:t>
      </w:r>
      <w:r w:rsidR="000D4F66" w:rsidRPr="000D4F66">
        <w:rPr>
          <w:color w:val="000000" w:themeColor="text1"/>
        </w:rPr>
        <w:t>suprême</w:t>
      </w:r>
      <w:r w:rsidRPr="000D4F66">
        <w:rPr>
          <w:color w:val="000000" w:themeColor="text1"/>
        </w:rPr>
        <w:t xml:space="preserve"> opine </w:t>
      </w:r>
      <w:r w:rsidR="000D4F66" w:rsidRPr="000D4F66">
        <w:rPr>
          <w:color w:val="000000" w:themeColor="text1"/>
        </w:rPr>
        <w:t xml:space="preserve">en effet </w:t>
      </w:r>
      <w:r w:rsidRPr="000D4F66">
        <w:rPr>
          <w:color w:val="000000" w:themeColor="text1"/>
        </w:rPr>
        <w:t>que </w:t>
      </w:r>
      <w:r w:rsidR="000D4F66" w:rsidRPr="000D4F66">
        <w:t>la divulgation de renseignements contrevenant à une entente de confidentialité met en cause un intérêt commercial général</w:t>
      </w:r>
      <w:r w:rsidR="00AE36B4">
        <w:t> </w:t>
      </w:r>
      <w:r w:rsidR="00AE36B4">
        <w:rPr>
          <w:color w:val="000000" w:themeColor="text1"/>
        </w:rPr>
        <w:t>:</w:t>
      </w:r>
    </w:p>
    <w:p w14:paraId="2AA83B68" w14:textId="279FA644" w:rsidR="00DA493E" w:rsidRPr="00AE36B4" w:rsidRDefault="00DA493E" w:rsidP="00AE36B4">
      <w:pPr>
        <w:pStyle w:val="citation"/>
        <w:spacing w:after="120"/>
      </w:pPr>
      <w:r w:rsidRPr="000D4F66">
        <w:rPr>
          <w:color w:val="000000" w:themeColor="text1"/>
        </w:rPr>
        <w:t>Pour être qualifié d’« </w:t>
      </w:r>
      <w:r w:rsidRPr="000D4F66">
        <w:rPr>
          <w:i/>
          <w:color w:val="000000" w:themeColor="text1"/>
        </w:rPr>
        <w:t>intérêt commercial important</w:t>
      </w:r>
      <w:r w:rsidRPr="000D4F66">
        <w:rPr>
          <w:color w:val="000000" w:themeColor="text1"/>
        </w:rPr>
        <w:t xml:space="preserve"> », l’intérêt en question ne doit pas se rapporter uniquement et spécifiquement à </w:t>
      </w:r>
      <w:r w:rsidRPr="00DA493E">
        <w:t>la partie qui demande l’ordonnance de confidentialité; il doit s’agir d’un intérêt qui peut se définir en termes d’intérêt public à la confidentialité.  Par exemple, une entreprise privée ne pourrait simplement prétendre que l’existence d’un contrat donné ne devrait pas être divulguée parce que cela lui ferait perdre des occasions d’affaires, et que cela nuirait à ses intérêts commerciaux</w:t>
      </w:r>
      <w:r w:rsidRPr="00DA493E">
        <w:rPr>
          <w:u w:val="single"/>
        </w:rPr>
        <w:t>.  Si toutefois, comme en l’espèce, la divulgation de renseignements doit entraîner un manquement à une entente de non</w:t>
      </w:r>
      <w:r w:rsidRPr="00DA493E">
        <w:rPr>
          <w:u w:val="single"/>
        </w:rPr>
        <w:noBreakHyphen/>
        <w:t xml:space="preserve">divulgation, on peut alors parler plus </w:t>
      </w:r>
      <w:r w:rsidRPr="00AE36B4">
        <w:rPr>
          <w:u w:val="single"/>
        </w:rPr>
        <w:t>largement de l’intérêt commercial général dans la protection des renseignements confidentiels.</w:t>
      </w:r>
      <w:r w:rsidRPr="00AE36B4">
        <w:t> </w:t>
      </w:r>
    </w:p>
    <w:p w14:paraId="630E51A4" w14:textId="20380999" w:rsidR="00DA493E" w:rsidRPr="00AE36B4" w:rsidRDefault="000D4F66" w:rsidP="00AE36B4">
      <w:pPr>
        <w:spacing w:after="360"/>
        <w:ind w:left="709"/>
      </w:pPr>
      <w:r w:rsidRPr="00AE36B4">
        <w:lastRenderedPageBreak/>
        <w:t>[Notre</w:t>
      </w:r>
      <w:r w:rsidR="00DA493E" w:rsidRPr="00AE36B4">
        <w:t xml:space="preserve"> soulignement]</w:t>
      </w:r>
    </w:p>
    <w:p w14:paraId="375EDFF6" w14:textId="3F80B34D" w:rsidR="00DA493E" w:rsidRPr="00A03341" w:rsidRDefault="00A03341" w:rsidP="00DA493E">
      <w:pPr>
        <w:numPr>
          <w:ilvl w:val="0"/>
          <w:numId w:val="1"/>
        </w:numPr>
        <w:tabs>
          <w:tab w:val="clear" w:pos="360"/>
          <w:tab w:val="num" w:pos="720"/>
        </w:tabs>
        <w:spacing w:after="240"/>
        <w:jc w:val="both"/>
        <w:rPr>
          <w:color w:val="000000" w:themeColor="text1"/>
        </w:rPr>
      </w:pPr>
      <w:r w:rsidRPr="00AE36B4">
        <w:t>En appliquant cette analyse, elle précise que « </w:t>
      </w:r>
      <w:r w:rsidR="00DA493E" w:rsidRPr="00AE36B4">
        <w:rPr>
          <w:rStyle w:val="Citationintgre"/>
        </w:rPr>
        <w:t xml:space="preserve">la préservation </w:t>
      </w:r>
      <w:r w:rsidR="00DA493E" w:rsidRPr="00A03341">
        <w:rPr>
          <w:rStyle w:val="Citationintgre"/>
          <w:color w:val="000000" w:themeColor="text1"/>
        </w:rPr>
        <w:t xml:space="preserve">de renseignements confidentiels est un intérêt commercial suffisamment important pour satisfaire au premier volet de l’analyse dès lors que </w:t>
      </w:r>
      <w:r w:rsidR="00DA493E" w:rsidRPr="000D4F66">
        <w:rPr>
          <w:rStyle w:val="Citationintgre"/>
          <w:color w:val="000000" w:themeColor="text1"/>
          <w:u w:val="single"/>
        </w:rPr>
        <w:t>certaines conditions relatives aux renseignements sont réunies</w:t>
      </w:r>
      <w:r w:rsidRPr="00A03341">
        <w:rPr>
          <w:rFonts w:cs="Arial"/>
          <w:color w:val="000000" w:themeColor="text1"/>
          <w:sz w:val="27"/>
          <w:szCs w:val="27"/>
        </w:rPr>
        <w:t> »</w:t>
      </w:r>
      <w:r w:rsidRPr="00AE36B4">
        <w:rPr>
          <w:rStyle w:val="Appelnotedebasdep"/>
          <w:rFonts w:cs="Arial"/>
          <w:color w:val="000000" w:themeColor="text1"/>
          <w:szCs w:val="27"/>
        </w:rPr>
        <w:footnoteReference w:id="38"/>
      </w:r>
      <w:r w:rsidR="00BB7D61">
        <w:rPr>
          <w:rFonts w:cs="Arial"/>
          <w:color w:val="000000" w:themeColor="text1"/>
          <w:sz w:val="27"/>
          <w:szCs w:val="27"/>
        </w:rPr>
        <w:t>.</w:t>
      </w:r>
    </w:p>
    <w:p w14:paraId="4DC2C2F9" w14:textId="53080D39" w:rsidR="00A03341" w:rsidRPr="00A03341" w:rsidRDefault="00A03341" w:rsidP="004071BB">
      <w:pPr>
        <w:numPr>
          <w:ilvl w:val="0"/>
          <w:numId w:val="1"/>
        </w:numPr>
        <w:tabs>
          <w:tab w:val="clear" w:pos="360"/>
          <w:tab w:val="num" w:pos="720"/>
        </w:tabs>
        <w:spacing w:after="240"/>
        <w:jc w:val="both"/>
        <w:rPr>
          <w:rFonts w:cs="Arial"/>
          <w:color w:val="000000" w:themeColor="text1"/>
          <w:sz w:val="22"/>
          <w:szCs w:val="22"/>
        </w:rPr>
      </w:pPr>
      <w:r w:rsidRPr="00A03341">
        <w:rPr>
          <w:color w:val="000000" w:themeColor="text1"/>
        </w:rPr>
        <w:t xml:space="preserve">Le demandeur doit démontrer que les renseignements </w:t>
      </w:r>
      <w:r w:rsidR="004071BB" w:rsidRPr="00A03341">
        <w:rPr>
          <w:color w:val="000000" w:themeColor="text1"/>
        </w:rPr>
        <w:t>visés sont</w:t>
      </w:r>
      <w:r w:rsidRPr="00A03341">
        <w:rPr>
          <w:color w:val="000000" w:themeColor="text1"/>
        </w:rPr>
        <w:t xml:space="preserve"> de nature confidentielle, qu'ils </w:t>
      </w:r>
      <w:r w:rsidR="00BB7D61">
        <w:rPr>
          <w:color w:val="000000" w:themeColor="text1"/>
        </w:rPr>
        <w:t>s</w:t>
      </w:r>
      <w:r w:rsidRPr="00A03341">
        <w:rPr>
          <w:color w:val="000000" w:themeColor="text1"/>
        </w:rPr>
        <w:t>ont toujours</w:t>
      </w:r>
      <w:r w:rsidR="004071BB" w:rsidRPr="00A03341">
        <w:rPr>
          <w:color w:val="000000" w:themeColor="text1"/>
        </w:rPr>
        <w:t xml:space="preserve"> </w:t>
      </w:r>
      <w:r w:rsidRPr="00A03341">
        <w:rPr>
          <w:color w:val="000000" w:themeColor="text1"/>
        </w:rPr>
        <w:t>traité</w:t>
      </w:r>
      <w:r w:rsidR="007209AC">
        <w:rPr>
          <w:color w:val="000000" w:themeColor="text1"/>
        </w:rPr>
        <w:t>s</w:t>
      </w:r>
      <w:r w:rsidRPr="00A03341">
        <w:rPr>
          <w:color w:val="000000" w:themeColor="text1"/>
        </w:rPr>
        <w:t xml:space="preserve"> ainsi et que leur divulgation porterait atteinte aux intérêts commerciaux de l’une ou l’autre des parties</w:t>
      </w:r>
      <w:r w:rsidR="002C6122" w:rsidRPr="00A03341">
        <w:rPr>
          <w:color w:val="000000" w:themeColor="text1"/>
        </w:rPr>
        <w:t xml:space="preserve">. </w:t>
      </w:r>
    </w:p>
    <w:p w14:paraId="43BEA5CB" w14:textId="4DBD39E6" w:rsidR="002C6122" w:rsidRPr="00A03341" w:rsidRDefault="00A03341" w:rsidP="004071BB">
      <w:pPr>
        <w:numPr>
          <w:ilvl w:val="0"/>
          <w:numId w:val="1"/>
        </w:numPr>
        <w:tabs>
          <w:tab w:val="clear" w:pos="360"/>
          <w:tab w:val="num" w:pos="720"/>
        </w:tabs>
        <w:spacing w:after="240"/>
        <w:jc w:val="both"/>
        <w:rPr>
          <w:rFonts w:cs="Arial"/>
          <w:color w:val="000000" w:themeColor="text1"/>
          <w:sz w:val="22"/>
          <w:szCs w:val="22"/>
        </w:rPr>
      </w:pPr>
      <w:r w:rsidRPr="00A03341">
        <w:rPr>
          <w:color w:val="000000" w:themeColor="text1"/>
        </w:rPr>
        <w:t xml:space="preserve">Or, l’employeur </w:t>
      </w:r>
      <w:r w:rsidR="009806E1">
        <w:rPr>
          <w:color w:val="000000" w:themeColor="text1"/>
        </w:rPr>
        <w:t xml:space="preserve">se limite à </w:t>
      </w:r>
      <w:r w:rsidRPr="00A03341">
        <w:rPr>
          <w:color w:val="000000" w:themeColor="text1"/>
        </w:rPr>
        <w:t>affirme</w:t>
      </w:r>
      <w:r w:rsidR="009806E1">
        <w:rPr>
          <w:color w:val="000000" w:themeColor="text1"/>
        </w:rPr>
        <w:t>r</w:t>
      </w:r>
      <w:r w:rsidRPr="00A03341">
        <w:rPr>
          <w:color w:val="000000" w:themeColor="text1"/>
        </w:rPr>
        <w:t xml:space="preserve"> la confidentialité des renseignements, sans en faire la démonstration. En l’absence de preuve, le Tribunal ne peut présumer</w:t>
      </w:r>
      <w:r w:rsidR="00D60AD3" w:rsidRPr="00A03341">
        <w:rPr>
          <w:color w:val="000000" w:themeColor="text1"/>
        </w:rPr>
        <w:t xml:space="preserve"> qu’une ordonnance est nécessaire </w:t>
      </w:r>
      <w:r w:rsidR="00C67BCA" w:rsidRPr="00A03341">
        <w:rPr>
          <w:color w:val="000000" w:themeColor="text1"/>
        </w:rPr>
        <w:t xml:space="preserve">pour éviter </w:t>
      </w:r>
      <w:r w:rsidR="002C6122" w:rsidRPr="00A03341">
        <w:rPr>
          <w:color w:val="000000" w:themeColor="text1"/>
        </w:rPr>
        <w:t xml:space="preserve">un risque sérieux et réel à un </w:t>
      </w:r>
      <w:r w:rsidR="00BB7D61">
        <w:rPr>
          <w:color w:val="000000" w:themeColor="text1"/>
        </w:rPr>
        <w:t>« </w:t>
      </w:r>
      <w:r w:rsidR="002C6122" w:rsidRPr="007D6CBA">
        <w:rPr>
          <w:i/>
          <w:color w:val="000000" w:themeColor="text1"/>
          <w:sz w:val="22"/>
        </w:rPr>
        <w:t>intérêt public important</w:t>
      </w:r>
      <w:r w:rsidR="00C67BCA" w:rsidRPr="007D6CBA">
        <w:rPr>
          <w:i/>
          <w:color w:val="000000" w:themeColor="text1"/>
          <w:sz w:val="22"/>
        </w:rPr>
        <w:t> </w:t>
      </w:r>
      <w:r w:rsidR="000D4F66" w:rsidRPr="00A03341">
        <w:rPr>
          <w:color w:val="000000" w:themeColor="text1"/>
        </w:rPr>
        <w:t>»</w:t>
      </w:r>
      <w:r w:rsidR="00C67BCA" w:rsidRPr="00A03341">
        <w:rPr>
          <w:color w:val="000000" w:themeColor="text1"/>
          <w:vertAlign w:val="superscript"/>
        </w:rPr>
        <w:footnoteReference w:id="39"/>
      </w:r>
      <w:r w:rsidR="002C6122" w:rsidRPr="00A03341">
        <w:rPr>
          <w:color w:val="000000" w:themeColor="text1"/>
        </w:rPr>
        <w:t xml:space="preserve">. </w:t>
      </w:r>
    </w:p>
    <w:p w14:paraId="03EB46B3" w14:textId="31EE89E3" w:rsidR="002C6122" w:rsidRPr="00A03341" w:rsidRDefault="002C6122" w:rsidP="000D4F66">
      <w:pPr>
        <w:numPr>
          <w:ilvl w:val="0"/>
          <w:numId w:val="1"/>
        </w:numPr>
        <w:tabs>
          <w:tab w:val="left" w:pos="720"/>
        </w:tabs>
        <w:spacing w:after="600"/>
        <w:ind w:right="4"/>
        <w:jc w:val="both"/>
        <w:rPr>
          <w:color w:val="000000" w:themeColor="text1"/>
        </w:rPr>
      </w:pPr>
      <w:r w:rsidRPr="00A03341">
        <w:rPr>
          <w:color w:val="000000" w:themeColor="text1"/>
        </w:rPr>
        <w:t>La première condition pour obtenir une ordonnance de confidentialité n’est pas remplie, le risque sérieux et réel d’un préjudice à des intérêts commerciaux autre</w:t>
      </w:r>
      <w:r w:rsidR="00DE13A4">
        <w:rPr>
          <w:color w:val="000000" w:themeColor="text1"/>
        </w:rPr>
        <w:t>s</w:t>
      </w:r>
      <w:r w:rsidRPr="00A03341">
        <w:rPr>
          <w:color w:val="000000" w:themeColor="text1"/>
        </w:rPr>
        <w:t xml:space="preserve"> que privé</w:t>
      </w:r>
      <w:r w:rsidR="00FF5CD0">
        <w:rPr>
          <w:color w:val="000000" w:themeColor="text1"/>
        </w:rPr>
        <w:t>s</w:t>
      </w:r>
      <w:r w:rsidRPr="00A03341">
        <w:rPr>
          <w:color w:val="000000" w:themeColor="text1"/>
        </w:rPr>
        <w:t xml:space="preserve"> n’étant pas démontré. Dans ce contexte, il n’est pas nécessaire d’examiner les autres composantes du test proposé par la Cour suprême.</w:t>
      </w:r>
    </w:p>
    <w:p w14:paraId="7403EE5B" w14:textId="77777777" w:rsidR="00C74B6F" w:rsidRDefault="00C74B6F">
      <w:pPr>
        <w:pStyle w:val="Dispositif"/>
      </w:pPr>
      <w:r>
        <w:rPr>
          <w:b/>
        </w:rPr>
        <w:t>P</w:t>
      </w:r>
      <w:r w:rsidR="00401325">
        <w:rPr>
          <w:b/>
        </w:rPr>
        <w:t>AR</w:t>
      </w:r>
      <w:r w:rsidR="00D07FA6">
        <w:rPr>
          <w:b/>
        </w:rPr>
        <w:t xml:space="preserve"> CES MOTIFS, LE TRIBUNAL ADMINISTRATIF DU TRAVAIL</w:t>
      </w:r>
      <w:r>
        <w:rPr>
          <w:b/>
        </w:rPr>
        <w:t> :</w:t>
      </w:r>
    </w:p>
    <w:p w14:paraId="55DC1524" w14:textId="6A37DEB7" w:rsidR="009553DE" w:rsidRDefault="009553DE" w:rsidP="009553DE">
      <w:pPr>
        <w:pStyle w:val="Paragraphe"/>
        <w:numPr>
          <w:ilvl w:val="0"/>
          <w:numId w:val="0"/>
        </w:numPr>
        <w:spacing w:before="0" w:after="360"/>
        <w:ind w:left="2430" w:hanging="2430"/>
      </w:pPr>
      <w:r>
        <w:rPr>
          <w:b/>
        </w:rPr>
        <w:t>DÉCLARE</w:t>
      </w:r>
      <w:r>
        <w:tab/>
        <w:t xml:space="preserve">que </w:t>
      </w:r>
      <w:r w:rsidR="009A7BC8" w:rsidRPr="003A7263">
        <w:rPr>
          <w:b/>
        </w:rPr>
        <w:t>PF Résolu Canada inc.</w:t>
      </w:r>
      <w:r w:rsidR="009A7BC8">
        <w:rPr>
          <w:b/>
        </w:rPr>
        <w:t xml:space="preserve"> </w:t>
      </w:r>
      <w:r w:rsidRPr="006F2679">
        <w:t xml:space="preserve">et </w:t>
      </w:r>
      <w:r w:rsidR="009A7BC8" w:rsidRPr="003A7263">
        <w:rPr>
          <w:b/>
        </w:rPr>
        <w:t>Syndicat des travailleuses et travailleurs de la centrale thermique de Senneterre - CSN</w:t>
      </w:r>
      <w:r w:rsidR="009A7BC8" w:rsidRPr="009A7BC8" w:rsidDel="009A7BC8">
        <w:rPr>
          <w:rFonts w:cs="Arial"/>
          <w:b/>
          <w:szCs w:val="24"/>
        </w:rPr>
        <w:t xml:space="preserve"> </w:t>
      </w:r>
      <w:r>
        <w:t xml:space="preserve">ne sont pas assujettis à l’obligation de </w:t>
      </w:r>
      <w:r w:rsidRPr="006F2679">
        <w:t xml:space="preserve">maintenir des services essentiels en cas de </w:t>
      </w:r>
      <w:r>
        <w:t xml:space="preserve">grève en vertu de l’article 111.0.17 du </w:t>
      </w:r>
      <w:r w:rsidRPr="003114AA">
        <w:rPr>
          <w:i/>
        </w:rPr>
        <w:t>Code du travail</w:t>
      </w:r>
      <w:r w:rsidR="00BF10FE">
        <w:t>;</w:t>
      </w:r>
      <w:bookmarkStart w:id="11" w:name="_GoBack"/>
      <w:bookmarkEnd w:id="11"/>
    </w:p>
    <w:p w14:paraId="6C865DD7" w14:textId="69D4FEFE" w:rsidR="00C74B6F" w:rsidRPr="00BF10FE" w:rsidRDefault="009553DE" w:rsidP="00BF10FE">
      <w:pPr>
        <w:pStyle w:val="ParagConclusion"/>
        <w:spacing w:before="0" w:after="840"/>
        <w:rPr>
          <w:bCs/>
        </w:rPr>
      </w:pPr>
      <w:r>
        <w:rPr>
          <w:b/>
          <w:bCs/>
        </w:rPr>
        <w:t>REJETTE</w:t>
      </w:r>
      <w:r>
        <w:rPr>
          <w:b/>
          <w:bCs/>
        </w:rPr>
        <w:tab/>
      </w:r>
      <w:r>
        <w:rPr>
          <w:bCs/>
        </w:rPr>
        <w:t>la demande d’ordonnance de confidentialité.</w:t>
      </w:r>
    </w:p>
    <w:tbl>
      <w:tblPr>
        <w:tblW w:w="9639" w:type="dxa"/>
        <w:tblLayout w:type="fixed"/>
        <w:tblCellMar>
          <w:left w:w="70" w:type="dxa"/>
          <w:right w:w="70" w:type="dxa"/>
        </w:tblCellMar>
        <w:tblLook w:val="0000" w:firstRow="0" w:lastRow="0" w:firstColumn="0" w:lastColumn="0" w:noHBand="0" w:noVBand="0"/>
      </w:tblPr>
      <w:tblGrid>
        <w:gridCol w:w="4820"/>
        <w:gridCol w:w="4819"/>
      </w:tblGrid>
      <w:tr w:rsidR="00BF10FE" w14:paraId="4B32A054" w14:textId="77777777" w:rsidTr="00BF10FE">
        <w:tc>
          <w:tcPr>
            <w:tcW w:w="4820" w:type="dxa"/>
          </w:tcPr>
          <w:p w14:paraId="7BCA47C5" w14:textId="77777777" w:rsidR="00BF10FE" w:rsidRDefault="00BF10FE"/>
        </w:tc>
        <w:tc>
          <w:tcPr>
            <w:tcW w:w="4819" w:type="dxa"/>
          </w:tcPr>
          <w:p w14:paraId="1A3054D1" w14:textId="77777777" w:rsidR="00BF10FE" w:rsidRDefault="00BF10FE">
            <w:bookmarkStart w:id="12" w:name="signature"/>
            <w:bookmarkEnd w:id="12"/>
            <w:r>
              <w:t>__________________________________</w:t>
            </w:r>
          </w:p>
        </w:tc>
      </w:tr>
      <w:tr w:rsidR="00BF10FE" w14:paraId="4E833B92" w14:textId="77777777" w:rsidTr="00BF10FE">
        <w:tc>
          <w:tcPr>
            <w:tcW w:w="4820" w:type="dxa"/>
          </w:tcPr>
          <w:p w14:paraId="06F70C4B" w14:textId="77777777" w:rsidR="00BF10FE" w:rsidRDefault="00BF10FE"/>
        </w:tc>
        <w:tc>
          <w:tcPr>
            <w:tcW w:w="4819" w:type="dxa"/>
          </w:tcPr>
          <w:p w14:paraId="4E9F40BC" w14:textId="77777777" w:rsidR="00BF10FE" w:rsidRDefault="00BF10FE">
            <w:r>
              <w:t>Annie Laprade</w:t>
            </w:r>
          </w:p>
        </w:tc>
      </w:tr>
      <w:tr w:rsidR="00BF10FE" w14:paraId="0F59C5B2" w14:textId="77777777" w:rsidTr="00BF10FE">
        <w:trPr>
          <w:cantSplit/>
        </w:trPr>
        <w:tc>
          <w:tcPr>
            <w:tcW w:w="9639" w:type="dxa"/>
            <w:gridSpan w:val="2"/>
          </w:tcPr>
          <w:p w14:paraId="2C0322C6" w14:textId="77777777" w:rsidR="00BF10FE" w:rsidRDefault="00BF10FE"/>
        </w:tc>
      </w:tr>
      <w:tr w:rsidR="00BF10FE" w14:paraId="09627BE4" w14:textId="77777777" w:rsidTr="00BF10FE">
        <w:trPr>
          <w:cantSplit/>
        </w:trPr>
        <w:tc>
          <w:tcPr>
            <w:tcW w:w="9639" w:type="dxa"/>
            <w:gridSpan w:val="2"/>
          </w:tcPr>
          <w:p w14:paraId="22DCBD9A" w14:textId="77777777" w:rsidR="00BF10FE" w:rsidRPr="00C912F9" w:rsidRDefault="00BF10FE" w:rsidP="00EC5C8D">
            <w:pPr>
              <w:tabs>
                <w:tab w:val="left" w:pos="1592"/>
              </w:tabs>
            </w:pPr>
          </w:p>
        </w:tc>
      </w:tr>
      <w:tr w:rsidR="00BF10FE" w14:paraId="5CFEB92A" w14:textId="77777777" w:rsidTr="00BF10FE">
        <w:trPr>
          <w:cantSplit/>
        </w:trPr>
        <w:tc>
          <w:tcPr>
            <w:tcW w:w="9639" w:type="dxa"/>
            <w:gridSpan w:val="2"/>
          </w:tcPr>
          <w:p w14:paraId="493A4F3D" w14:textId="77777777" w:rsidR="00BF10FE" w:rsidRDefault="00BF10FE"/>
        </w:tc>
      </w:tr>
      <w:tr w:rsidR="00BF10FE" w14:paraId="6BECD6B3" w14:textId="77777777" w:rsidTr="00BF10FE">
        <w:trPr>
          <w:cantSplit/>
        </w:trPr>
        <w:tc>
          <w:tcPr>
            <w:tcW w:w="9639" w:type="dxa"/>
            <w:gridSpan w:val="2"/>
          </w:tcPr>
          <w:p w14:paraId="65759BF4" w14:textId="77777777" w:rsidR="00BF10FE" w:rsidRDefault="00BF10FE">
            <w:pPr>
              <w:pStyle w:val="zSoquijdatNomProcureurDem"/>
            </w:pPr>
            <w:r w:rsidRPr="003A7263">
              <w:t>M</w:t>
            </w:r>
            <w:r w:rsidRPr="003A7263">
              <w:rPr>
                <w:vertAlign w:val="superscript"/>
              </w:rPr>
              <w:t>e</w:t>
            </w:r>
            <w:r w:rsidRPr="003A7263">
              <w:t xml:space="preserve"> Pierre Parent</w:t>
            </w:r>
          </w:p>
        </w:tc>
      </w:tr>
      <w:tr w:rsidR="00BF10FE" w14:paraId="0D582229" w14:textId="77777777" w:rsidTr="00BF10FE">
        <w:trPr>
          <w:cantSplit/>
        </w:trPr>
        <w:tc>
          <w:tcPr>
            <w:tcW w:w="9639" w:type="dxa"/>
            <w:gridSpan w:val="2"/>
          </w:tcPr>
          <w:p w14:paraId="20AC4ECF" w14:textId="77777777" w:rsidR="00BF10FE" w:rsidRDefault="00BF10FE">
            <w:pPr>
              <w:pStyle w:val="zSoquijdatCabinetProcureurDem"/>
            </w:pPr>
            <w:r w:rsidRPr="003A7263">
              <w:t xml:space="preserve">TREMBLAY </w:t>
            </w:r>
            <w:proofErr w:type="gramStart"/>
            <w:r w:rsidRPr="003A7263">
              <w:t>PARENT</w:t>
            </w:r>
            <w:proofErr w:type="gramEnd"/>
            <w:r w:rsidRPr="003A7263">
              <w:t xml:space="preserve"> AVOCATS ET AVOCATES INC.</w:t>
            </w:r>
          </w:p>
        </w:tc>
      </w:tr>
      <w:tr w:rsidR="00BF10FE" w14:paraId="727521B2" w14:textId="77777777" w:rsidTr="00BF10FE">
        <w:trPr>
          <w:cantSplit/>
        </w:trPr>
        <w:tc>
          <w:tcPr>
            <w:tcW w:w="9639" w:type="dxa"/>
            <w:gridSpan w:val="2"/>
          </w:tcPr>
          <w:p w14:paraId="26645748" w14:textId="77777777" w:rsidR="00BF10FE" w:rsidRDefault="00BF10FE">
            <w:pPr>
              <w:pStyle w:val="zSoquijlblProcureurDem"/>
            </w:pPr>
            <w:r>
              <w:t>Pour la partie demanderesse</w:t>
            </w:r>
          </w:p>
        </w:tc>
      </w:tr>
      <w:tr w:rsidR="00BF10FE" w14:paraId="02500F2C" w14:textId="77777777" w:rsidTr="00BF10FE">
        <w:trPr>
          <w:cantSplit/>
        </w:trPr>
        <w:tc>
          <w:tcPr>
            <w:tcW w:w="9639" w:type="dxa"/>
            <w:gridSpan w:val="2"/>
          </w:tcPr>
          <w:p w14:paraId="511A8AEA" w14:textId="77777777" w:rsidR="00BF10FE" w:rsidRDefault="00BF10FE"/>
        </w:tc>
      </w:tr>
      <w:tr w:rsidR="00BF10FE" w14:paraId="14DFD121" w14:textId="77777777" w:rsidTr="00BF10FE">
        <w:trPr>
          <w:cantSplit/>
        </w:trPr>
        <w:tc>
          <w:tcPr>
            <w:tcW w:w="9639" w:type="dxa"/>
            <w:gridSpan w:val="2"/>
          </w:tcPr>
          <w:p w14:paraId="6D98AADD" w14:textId="77777777" w:rsidR="00BF10FE" w:rsidRDefault="00BF10FE">
            <w:pPr>
              <w:pStyle w:val="zSoquijdatNomProcureurDef"/>
            </w:pPr>
            <w:r w:rsidRPr="003A7263">
              <w:t>M</w:t>
            </w:r>
            <w:r w:rsidRPr="003A7263">
              <w:rPr>
                <w:vertAlign w:val="superscript"/>
              </w:rPr>
              <w:t>e</w:t>
            </w:r>
            <w:r w:rsidRPr="003A7263">
              <w:t xml:space="preserve"> </w:t>
            </w:r>
            <w:proofErr w:type="spellStart"/>
            <w:r w:rsidRPr="003A7263">
              <w:t>Franccesca</w:t>
            </w:r>
            <w:proofErr w:type="spellEnd"/>
            <w:r w:rsidRPr="003A7263">
              <w:t xml:space="preserve"> </w:t>
            </w:r>
            <w:proofErr w:type="spellStart"/>
            <w:r w:rsidRPr="003A7263">
              <w:t>Cancino</w:t>
            </w:r>
            <w:proofErr w:type="spellEnd"/>
          </w:p>
        </w:tc>
      </w:tr>
      <w:tr w:rsidR="00BF10FE" w14:paraId="4165E042" w14:textId="77777777" w:rsidTr="00BF10FE">
        <w:trPr>
          <w:cantSplit/>
        </w:trPr>
        <w:tc>
          <w:tcPr>
            <w:tcW w:w="9639" w:type="dxa"/>
            <w:gridSpan w:val="2"/>
          </w:tcPr>
          <w:p w14:paraId="223E0C2D" w14:textId="77777777" w:rsidR="00BF10FE" w:rsidRDefault="00BF10FE">
            <w:pPr>
              <w:pStyle w:val="zSoquijdatCabinetProcureurDef"/>
            </w:pPr>
            <w:r w:rsidRPr="003A7263">
              <w:t>LAROCHE MARTIN</w:t>
            </w:r>
          </w:p>
        </w:tc>
      </w:tr>
      <w:tr w:rsidR="00BF10FE" w14:paraId="5A352AAD" w14:textId="77777777" w:rsidTr="00BF10FE">
        <w:trPr>
          <w:cantSplit/>
        </w:trPr>
        <w:tc>
          <w:tcPr>
            <w:tcW w:w="9639" w:type="dxa"/>
            <w:gridSpan w:val="2"/>
          </w:tcPr>
          <w:p w14:paraId="7ECEAFA4" w14:textId="77777777" w:rsidR="00BF10FE" w:rsidRDefault="00BF10FE" w:rsidP="003A7263">
            <w:pPr>
              <w:pStyle w:val="zSoquijlblProcureurDef"/>
            </w:pPr>
            <w:r>
              <w:t>Pour la partie défenderesse</w:t>
            </w:r>
          </w:p>
        </w:tc>
      </w:tr>
      <w:tr w:rsidR="00BF10FE" w14:paraId="1021F1F2" w14:textId="77777777" w:rsidTr="00BF10FE">
        <w:trPr>
          <w:cantSplit/>
        </w:trPr>
        <w:tc>
          <w:tcPr>
            <w:tcW w:w="9639" w:type="dxa"/>
            <w:gridSpan w:val="2"/>
          </w:tcPr>
          <w:p w14:paraId="24BA0A18" w14:textId="77777777" w:rsidR="00BF10FE" w:rsidRDefault="00BF10FE">
            <w:pPr>
              <w:pStyle w:val="zSoquijlblProcureurInt"/>
            </w:pPr>
          </w:p>
        </w:tc>
      </w:tr>
      <w:tr w:rsidR="00BF10FE" w14:paraId="790B9CB7" w14:textId="77777777" w:rsidTr="00BF10FE">
        <w:trPr>
          <w:cantSplit/>
        </w:trPr>
        <w:tc>
          <w:tcPr>
            <w:tcW w:w="9639" w:type="dxa"/>
            <w:gridSpan w:val="2"/>
          </w:tcPr>
          <w:p w14:paraId="48622AAA" w14:textId="77777777" w:rsidR="00BF10FE" w:rsidRDefault="00BF10FE" w:rsidP="003A7263">
            <w:pPr>
              <w:pStyle w:val="zSoquijdatDateAudience"/>
            </w:pPr>
            <w:bookmarkStart w:id="13" w:name="Date_derniere_audience"/>
            <w:bookmarkEnd w:id="13"/>
            <w:r>
              <w:t>Date de la mise en délibéré :</w:t>
            </w:r>
            <w:r>
              <w:tab/>
              <w:t>8 juin 2023</w:t>
            </w:r>
          </w:p>
        </w:tc>
      </w:tr>
      <w:tr w:rsidR="00BF10FE" w14:paraId="5ACE7BDD" w14:textId="77777777" w:rsidTr="00BF10FE">
        <w:trPr>
          <w:cantSplit/>
        </w:trPr>
        <w:tc>
          <w:tcPr>
            <w:tcW w:w="9639" w:type="dxa"/>
            <w:gridSpan w:val="2"/>
          </w:tcPr>
          <w:p w14:paraId="755F0EFA" w14:textId="77777777" w:rsidR="00BF10FE" w:rsidRDefault="00BF10FE" w:rsidP="000E56A6">
            <w:pPr>
              <w:pStyle w:val="zSoquijdatDateAudience"/>
            </w:pPr>
          </w:p>
        </w:tc>
      </w:tr>
      <w:tr w:rsidR="00BF10FE" w14:paraId="679DC210" w14:textId="77777777" w:rsidTr="00BF10FE">
        <w:trPr>
          <w:cantSplit/>
        </w:trPr>
        <w:tc>
          <w:tcPr>
            <w:tcW w:w="9639" w:type="dxa"/>
            <w:gridSpan w:val="2"/>
          </w:tcPr>
          <w:p w14:paraId="50A1BB5D" w14:textId="7D460636" w:rsidR="00BF10FE" w:rsidRDefault="00BF10FE" w:rsidP="000E56A6">
            <w:pPr>
              <w:pStyle w:val="zSoquijdatDateAudience"/>
            </w:pPr>
            <w:r>
              <w:t>/</w:t>
            </w:r>
            <w:proofErr w:type="spellStart"/>
            <w:r>
              <w:t>m</w:t>
            </w:r>
            <w:r w:rsidR="00AE36B4">
              <w:t>pl</w:t>
            </w:r>
            <w:proofErr w:type="spellEnd"/>
          </w:p>
        </w:tc>
      </w:tr>
    </w:tbl>
    <w:p w14:paraId="2A2AD381" w14:textId="77777777" w:rsidR="00F76B4A" w:rsidRDefault="00F76B4A" w:rsidP="00F73D1C"/>
    <w:p w14:paraId="4800C0B9" w14:textId="77777777" w:rsidR="002542E0" w:rsidRDefault="002542E0" w:rsidP="002542E0">
      <w:pPr>
        <w:pStyle w:val="corpsdedcision"/>
        <w:numPr>
          <w:ilvl w:val="0"/>
          <w:numId w:val="0"/>
        </w:numPr>
      </w:pPr>
    </w:p>
    <w:sectPr w:rsidR="002542E0">
      <w:headerReference w:type="default" r:id="rId8"/>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1EEE4" w14:textId="77777777" w:rsidR="00B13D22" w:rsidRDefault="00B13D22">
      <w:r>
        <w:separator/>
      </w:r>
    </w:p>
  </w:endnote>
  <w:endnote w:type="continuationSeparator" w:id="0">
    <w:p w14:paraId="3FE392FF" w14:textId="77777777" w:rsidR="00B13D22" w:rsidRDefault="00B1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2FFD6" w14:textId="77777777" w:rsidR="00B13D22" w:rsidRDefault="00B13D22">
      <w:r>
        <w:separator/>
      </w:r>
    </w:p>
  </w:footnote>
  <w:footnote w:type="continuationSeparator" w:id="0">
    <w:p w14:paraId="2F7CF8E7" w14:textId="77777777" w:rsidR="00B13D22" w:rsidRDefault="00B13D22">
      <w:r>
        <w:continuationSeparator/>
      </w:r>
    </w:p>
  </w:footnote>
  <w:footnote w:id="1">
    <w:p w14:paraId="3796F17B" w14:textId="77777777" w:rsidR="00846AC7" w:rsidRPr="006204AB" w:rsidRDefault="00846AC7" w:rsidP="007E2909">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6204AB">
        <w:rPr>
          <w:rFonts w:cs="Arial"/>
          <w:sz w:val="20"/>
        </w:rPr>
        <w:t>RLRQ, c. C-27</w:t>
      </w:r>
      <w:r>
        <w:rPr>
          <w:rFonts w:cs="Arial"/>
          <w:sz w:val="20"/>
        </w:rPr>
        <w:t>.</w:t>
      </w:r>
    </w:p>
  </w:footnote>
  <w:footnote w:id="2">
    <w:p w14:paraId="7F78BD85" w14:textId="545D66BD" w:rsidR="00846AC7" w:rsidRPr="0034208F" w:rsidRDefault="00846AC7" w:rsidP="0008640E">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34208F">
        <w:rPr>
          <w:rFonts w:cs="Arial"/>
          <w:i/>
          <w:iCs/>
          <w:sz w:val="20"/>
        </w:rPr>
        <w:t>Carrefour d’alimentation et de partage St-Barnabé inc.</w:t>
      </w:r>
      <w:r w:rsidRPr="0034208F">
        <w:rPr>
          <w:rFonts w:cs="Arial"/>
          <w:sz w:val="20"/>
        </w:rPr>
        <w:t xml:space="preserve"> c. </w:t>
      </w:r>
      <w:r w:rsidRPr="0034208F">
        <w:rPr>
          <w:rFonts w:cs="Arial"/>
          <w:i/>
          <w:iCs/>
          <w:sz w:val="20"/>
        </w:rPr>
        <w:t>Syndicat des travailleuses et travailleurs en intervention sociale de Montréal-Laval – CSN</w:t>
      </w:r>
      <w:r w:rsidR="00F05E0E">
        <w:rPr>
          <w:rFonts w:cs="Arial"/>
          <w:sz w:val="20"/>
        </w:rPr>
        <w:t>, 2020 QCTAT 5003, par. 7.</w:t>
      </w:r>
    </w:p>
  </w:footnote>
  <w:footnote w:id="3">
    <w:p w14:paraId="560B90C6" w14:textId="77777777" w:rsidR="00846AC7" w:rsidRPr="00423834" w:rsidRDefault="00846AC7" w:rsidP="00CB6F47">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Complément d’informations de l’employeur du 25 mai 2023.</w:t>
      </w:r>
    </w:p>
  </w:footnote>
  <w:footnote w:id="4">
    <w:p w14:paraId="14BDE6B5" w14:textId="537E63A3" w:rsidR="00846AC7" w:rsidRPr="009035BD" w:rsidRDefault="00846AC7" w:rsidP="00856ACF">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 xml:space="preserve">Observations </w:t>
      </w:r>
      <w:r w:rsidR="00D128AF">
        <w:rPr>
          <w:rFonts w:cs="Arial"/>
          <w:sz w:val="20"/>
        </w:rPr>
        <w:t>de l’</w:t>
      </w:r>
      <w:r>
        <w:rPr>
          <w:rFonts w:cs="Arial"/>
          <w:sz w:val="20"/>
        </w:rPr>
        <w:t xml:space="preserve">employeur </w:t>
      </w:r>
      <w:r w:rsidR="00D128AF">
        <w:rPr>
          <w:rFonts w:cs="Arial"/>
          <w:sz w:val="20"/>
        </w:rPr>
        <w:t xml:space="preserve">du </w:t>
      </w:r>
      <w:r>
        <w:rPr>
          <w:rFonts w:cs="Arial"/>
          <w:sz w:val="20"/>
        </w:rPr>
        <w:t>21 décembre 2022.</w:t>
      </w:r>
    </w:p>
  </w:footnote>
  <w:footnote w:id="5">
    <w:p w14:paraId="54485B02" w14:textId="77777777" w:rsidR="00846AC7" w:rsidRPr="001F5CFE" w:rsidRDefault="00846AC7" w:rsidP="001362D7">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Déclaration assermentée de Manon Charron, 29 novembre 2022.</w:t>
      </w:r>
    </w:p>
  </w:footnote>
  <w:footnote w:id="6">
    <w:p w14:paraId="76D850D6" w14:textId="77777777" w:rsidR="00846AC7" w:rsidRPr="001F5CFE" w:rsidRDefault="00846AC7" w:rsidP="004A05DD">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Déclaration assermentée de Sébastien Lesage, 29 novembre 2022.</w:t>
      </w:r>
    </w:p>
  </w:footnote>
  <w:footnote w:id="7">
    <w:p w14:paraId="63A21E45" w14:textId="18160BA9" w:rsidR="00846AC7" w:rsidRPr="00314FE5" w:rsidRDefault="00846AC7" w:rsidP="00FD3F6D">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22255B">
        <w:rPr>
          <w:rFonts w:cs="Arial"/>
          <w:sz w:val="20"/>
        </w:rPr>
        <w:t xml:space="preserve">Par exemple, une panne provoquée par un problème avec les lignes de transport d’Hydro-Québec en 2015 n’a pas nécessité la mise en charge en mode îloté de la centrale thermique. </w:t>
      </w:r>
      <w:r w:rsidR="0022255B">
        <w:rPr>
          <w:rFonts w:cs="Arial"/>
          <w:sz w:val="20"/>
        </w:rPr>
        <w:t>François </w:t>
      </w:r>
      <w:r w:rsidR="0022255B" w:rsidRPr="0022255B">
        <w:rPr>
          <w:rFonts w:cs="Arial"/>
          <w:sz w:val="20"/>
        </w:rPr>
        <w:t>MUNGER</w:t>
      </w:r>
      <w:r w:rsidRPr="0022255B">
        <w:rPr>
          <w:rFonts w:cs="Arial"/>
          <w:sz w:val="20"/>
        </w:rPr>
        <w:t xml:space="preserve">, </w:t>
      </w:r>
      <w:r w:rsidR="0022255B">
        <w:rPr>
          <w:rFonts w:cs="Arial"/>
          <w:sz w:val="20"/>
        </w:rPr>
        <w:t>« </w:t>
      </w:r>
      <w:r w:rsidR="0022255B" w:rsidRPr="0022255B">
        <w:rPr>
          <w:rFonts w:cs="Arial"/>
          <w:sz w:val="20"/>
        </w:rPr>
        <w:t xml:space="preserve">Panne à </w:t>
      </w:r>
      <w:proofErr w:type="spellStart"/>
      <w:r w:rsidR="0022255B" w:rsidRPr="0022255B">
        <w:rPr>
          <w:rFonts w:cs="Arial"/>
          <w:sz w:val="20"/>
        </w:rPr>
        <w:t>Barraute</w:t>
      </w:r>
      <w:proofErr w:type="spellEnd"/>
      <w:r w:rsidR="0022255B" w:rsidRPr="0022255B">
        <w:rPr>
          <w:rFonts w:cs="Arial"/>
          <w:sz w:val="20"/>
        </w:rPr>
        <w:t xml:space="preserve"> et Senneterre</w:t>
      </w:r>
      <w:r w:rsidR="0022255B">
        <w:rPr>
          <w:rFonts w:cs="Arial"/>
          <w:sz w:val="20"/>
        </w:rPr>
        <w:t xml:space="preserve"> » </w:t>
      </w:r>
      <w:r w:rsidRPr="0022255B">
        <w:rPr>
          <w:rFonts w:cs="Arial"/>
          <w:sz w:val="20"/>
        </w:rPr>
        <w:t>(13 octobre</w:t>
      </w:r>
      <w:r w:rsidR="0022255B">
        <w:rPr>
          <w:rFonts w:cs="Arial"/>
          <w:sz w:val="20"/>
        </w:rPr>
        <w:t xml:space="preserve"> 2015</w:t>
      </w:r>
      <w:r w:rsidRPr="0022255B">
        <w:rPr>
          <w:rFonts w:cs="Arial"/>
          <w:sz w:val="20"/>
        </w:rPr>
        <w:t xml:space="preserve">) </w:t>
      </w:r>
      <w:r w:rsidRPr="007D6CBA">
        <w:rPr>
          <w:rFonts w:cs="Arial"/>
          <w:iCs/>
          <w:sz w:val="20"/>
        </w:rPr>
        <w:t xml:space="preserve">Médiat </w:t>
      </w:r>
      <w:r w:rsidR="0022255B">
        <w:rPr>
          <w:rFonts w:cs="Arial"/>
          <w:iCs/>
          <w:sz w:val="20"/>
        </w:rPr>
        <w:t>&lt;</w:t>
      </w:r>
      <w:r w:rsidRPr="0022255B">
        <w:rPr>
          <w:rFonts w:cs="Arial"/>
          <w:sz w:val="20"/>
          <w:u w:val="single"/>
        </w:rPr>
        <w:t>https://mediat.ca/nouvelles/panne-a-barraute-et-senneterre</w:t>
      </w:r>
      <w:r w:rsidR="0022255B">
        <w:rPr>
          <w:rFonts w:cs="Arial"/>
          <w:iCs/>
          <w:sz w:val="20"/>
        </w:rPr>
        <w:t>&gt;</w:t>
      </w:r>
      <w:r w:rsidRPr="0022255B">
        <w:rPr>
          <w:rFonts w:cs="Arial"/>
          <w:sz w:val="20"/>
        </w:rPr>
        <w:t>, annexe 4 des observations du syndicat du 2 décembre 2022.</w:t>
      </w:r>
    </w:p>
  </w:footnote>
  <w:footnote w:id="8">
    <w:p w14:paraId="5C69CA97" w14:textId="7D6F1133" w:rsidR="00846AC7" w:rsidRPr="00DF3027" w:rsidRDefault="00846AC7" w:rsidP="00D128AF">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7D6CBA">
        <w:rPr>
          <w:rFonts w:cs="Arial"/>
          <w:i/>
          <w:sz w:val="20"/>
        </w:rPr>
        <w:t>Charte canadienne des droits et libertés</w:t>
      </w:r>
      <w:r w:rsidRPr="00711D1A">
        <w:rPr>
          <w:rFonts w:cs="Arial"/>
          <w:sz w:val="20"/>
        </w:rPr>
        <w:t>, partie I de la Loi constitutionnelle de 1982 [annexe B de</w:t>
      </w:r>
      <w:r w:rsidR="00D128AF">
        <w:rPr>
          <w:rFonts w:cs="Arial"/>
          <w:sz w:val="20"/>
        </w:rPr>
        <w:t xml:space="preserve"> </w:t>
      </w:r>
      <w:r w:rsidRPr="00711D1A">
        <w:rPr>
          <w:rFonts w:cs="Arial"/>
          <w:sz w:val="20"/>
        </w:rPr>
        <w:t>la Loi de 1982 sur le Canada (1982, R.-U., c. 11)] 1982, ch. II (R.-U) dans L.R.C. (1985), App. II et</w:t>
      </w:r>
      <w:r w:rsidR="00D128AF">
        <w:rPr>
          <w:rFonts w:cs="Arial"/>
          <w:sz w:val="20"/>
        </w:rPr>
        <w:t xml:space="preserve"> </w:t>
      </w:r>
      <w:r w:rsidRPr="00711D1A">
        <w:rPr>
          <w:rFonts w:cs="Arial"/>
          <w:sz w:val="20"/>
        </w:rPr>
        <w:t xml:space="preserve">la </w:t>
      </w:r>
      <w:r w:rsidRPr="007D6CBA">
        <w:rPr>
          <w:rFonts w:cs="Arial"/>
          <w:i/>
          <w:sz w:val="20"/>
        </w:rPr>
        <w:t>Charte des droits et libertés de la personne</w:t>
      </w:r>
      <w:r>
        <w:rPr>
          <w:rFonts w:cs="Arial"/>
          <w:sz w:val="20"/>
        </w:rPr>
        <w:t>, RLRQ, c. C-1</w:t>
      </w:r>
      <w:r w:rsidR="00D128AF">
        <w:rPr>
          <w:rFonts w:cs="Arial"/>
          <w:sz w:val="20"/>
        </w:rPr>
        <w:t>;</w:t>
      </w:r>
      <w:r w:rsidRPr="00711D1A">
        <w:rPr>
          <w:rFonts w:cs="Arial"/>
          <w:sz w:val="20"/>
        </w:rPr>
        <w:t xml:space="preserve"> </w:t>
      </w:r>
      <w:r w:rsidRPr="00DF3027">
        <w:rPr>
          <w:rFonts w:cs="Arial"/>
          <w:i/>
          <w:sz w:val="20"/>
        </w:rPr>
        <w:t xml:space="preserve">Saskatchewan </w:t>
      </w:r>
      <w:proofErr w:type="spellStart"/>
      <w:r w:rsidRPr="00DF3027">
        <w:rPr>
          <w:rFonts w:cs="Arial"/>
          <w:i/>
          <w:sz w:val="20"/>
        </w:rPr>
        <w:t>Federation</w:t>
      </w:r>
      <w:proofErr w:type="spellEnd"/>
      <w:r w:rsidRPr="00DF3027">
        <w:rPr>
          <w:rFonts w:cs="Arial"/>
          <w:i/>
          <w:sz w:val="20"/>
        </w:rPr>
        <w:t xml:space="preserve"> of Labour</w:t>
      </w:r>
      <w:r w:rsidR="00D128AF">
        <w:rPr>
          <w:rFonts w:cs="Arial"/>
          <w:sz w:val="20"/>
        </w:rPr>
        <w:t xml:space="preserve"> </w:t>
      </w:r>
      <w:r w:rsidRPr="00DF3027">
        <w:rPr>
          <w:rFonts w:cs="Arial"/>
          <w:sz w:val="20"/>
        </w:rPr>
        <w:t xml:space="preserve">c. </w:t>
      </w:r>
      <w:r w:rsidRPr="00DF3027">
        <w:rPr>
          <w:rFonts w:cs="Arial"/>
          <w:i/>
          <w:sz w:val="20"/>
        </w:rPr>
        <w:t>Saskatchewan</w:t>
      </w:r>
      <w:r w:rsidRPr="00DF3027">
        <w:rPr>
          <w:rFonts w:cs="Arial"/>
          <w:sz w:val="20"/>
        </w:rPr>
        <w:t>, 2015 CSC 4.</w:t>
      </w:r>
    </w:p>
  </w:footnote>
  <w:footnote w:id="9">
    <w:p w14:paraId="618DFA5E" w14:textId="77777777" w:rsidR="00846AC7" w:rsidRPr="0075251C" w:rsidRDefault="00846AC7" w:rsidP="0075251C">
      <w:pPr>
        <w:pStyle w:val="Notedebasdepage"/>
        <w:tabs>
          <w:tab w:val="left" w:pos="720"/>
        </w:tabs>
        <w:ind w:left="720" w:hanging="720"/>
        <w:jc w:val="both"/>
        <w:rPr>
          <w:rFonts w:cs="Arial"/>
          <w:sz w:val="20"/>
        </w:rPr>
      </w:pPr>
      <w:r>
        <w:rPr>
          <w:rStyle w:val="Appelnotedebasdep"/>
        </w:rPr>
        <w:footnoteRef/>
      </w:r>
      <w:r w:rsidRPr="0075251C">
        <w:t xml:space="preserve"> </w:t>
      </w:r>
      <w:r w:rsidRPr="0075251C">
        <w:rPr>
          <w:rFonts w:cs="Arial"/>
          <w:sz w:val="20"/>
        </w:rPr>
        <w:tab/>
      </w:r>
      <w:r w:rsidRPr="0075251C">
        <w:rPr>
          <w:rFonts w:cs="Arial"/>
          <w:i/>
          <w:sz w:val="20"/>
        </w:rPr>
        <w:t>Centre résidentiel communautaire Arc-en-Soi inc.</w:t>
      </w:r>
      <w:r w:rsidRPr="0075251C">
        <w:rPr>
          <w:rFonts w:cs="Arial"/>
          <w:sz w:val="20"/>
        </w:rPr>
        <w:t xml:space="preserve">et </w:t>
      </w:r>
      <w:r w:rsidRPr="0075251C">
        <w:rPr>
          <w:rFonts w:cs="Arial"/>
          <w:i/>
          <w:sz w:val="20"/>
        </w:rPr>
        <w:t>Syndicat des travailleuses et travailleurs du Centre résidentiel communautaire L'Arc en Soi – CSN</w:t>
      </w:r>
      <w:r w:rsidRPr="0075251C">
        <w:rPr>
          <w:rFonts w:cs="Arial"/>
          <w:sz w:val="20"/>
        </w:rPr>
        <w:t>, 2021 QCTAT 3616</w:t>
      </w:r>
      <w:r>
        <w:rPr>
          <w:rFonts w:cs="Arial"/>
          <w:sz w:val="20"/>
        </w:rPr>
        <w:t>.</w:t>
      </w:r>
    </w:p>
  </w:footnote>
  <w:footnote w:id="10">
    <w:p w14:paraId="1ECAC583" w14:textId="09ECF196" w:rsidR="00846AC7" w:rsidRPr="007D6CBA" w:rsidRDefault="00846AC7" w:rsidP="00C779D7">
      <w:pPr>
        <w:pStyle w:val="Notedebasdepage"/>
        <w:tabs>
          <w:tab w:val="left" w:pos="720"/>
        </w:tabs>
        <w:ind w:left="720" w:hanging="720"/>
        <w:jc w:val="both"/>
        <w:rPr>
          <w:rFonts w:cs="Arial"/>
          <w:sz w:val="20"/>
        </w:rPr>
      </w:pPr>
      <w:r>
        <w:rPr>
          <w:rStyle w:val="Appelnotedebasdep"/>
        </w:rPr>
        <w:footnoteRef/>
      </w:r>
      <w:r w:rsidRPr="007D6CBA">
        <w:t xml:space="preserve"> </w:t>
      </w:r>
      <w:r w:rsidRPr="007D6CBA">
        <w:rPr>
          <w:rFonts w:cs="Arial"/>
          <w:sz w:val="20"/>
        </w:rPr>
        <w:tab/>
      </w:r>
      <w:r w:rsidRPr="007D6CBA">
        <w:rPr>
          <w:rFonts w:cs="Arial"/>
          <w:i/>
          <w:sz w:val="20"/>
        </w:rPr>
        <w:t xml:space="preserve">Saskatchewan </w:t>
      </w:r>
      <w:proofErr w:type="spellStart"/>
      <w:r w:rsidRPr="007D6CBA">
        <w:rPr>
          <w:rFonts w:cs="Arial"/>
          <w:i/>
          <w:sz w:val="20"/>
        </w:rPr>
        <w:t>Federation</w:t>
      </w:r>
      <w:proofErr w:type="spellEnd"/>
      <w:r w:rsidRPr="007D6CBA">
        <w:rPr>
          <w:rFonts w:cs="Arial"/>
          <w:i/>
          <w:sz w:val="20"/>
        </w:rPr>
        <w:t xml:space="preserve"> of Labour </w:t>
      </w:r>
      <w:r w:rsidRPr="007D6CBA">
        <w:rPr>
          <w:rFonts w:cs="Arial"/>
          <w:sz w:val="20"/>
        </w:rPr>
        <w:t xml:space="preserve">c. </w:t>
      </w:r>
      <w:r w:rsidRPr="007D6CBA">
        <w:rPr>
          <w:rFonts w:cs="Arial"/>
          <w:i/>
          <w:sz w:val="20"/>
        </w:rPr>
        <w:t>Saskatchewan</w:t>
      </w:r>
      <w:r w:rsidRPr="007D6CBA">
        <w:rPr>
          <w:rFonts w:cs="Arial"/>
          <w:sz w:val="20"/>
        </w:rPr>
        <w:t>, précitée,</w:t>
      </w:r>
      <w:r w:rsidR="0026439F" w:rsidRPr="007D6CBA">
        <w:rPr>
          <w:rFonts w:cs="Arial"/>
          <w:sz w:val="20"/>
        </w:rPr>
        <w:t xml:space="preserve"> note 8,</w:t>
      </w:r>
      <w:r w:rsidRPr="007D6CBA">
        <w:rPr>
          <w:rFonts w:cs="Arial"/>
          <w:sz w:val="20"/>
        </w:rPr>
        <w:t xml:space="preserve"> par. 84, 86 et 92</w:t>
      </w:r>
      <w:r w:rsidRPr="007D6CBA">
        <w:rPr>
          <w:rFonts w:cs="Arial"/>
          <w:i/>
          <w:sz w:val="20"/>
        </w:rPr>
        <w:t>.</w:t>
      </w:r>
    </w:p>
  </w:footnote>
  <w:footnote w:id="11">
    <w:p w14:paraId="6407F280" w14:textId="6EB46FF5" w:rsidR="00846AC7" w:rsidRPr="008150FB" w:rsidRDefault="00846AC7" w:rsidP="0028575E">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8150FB">
        <w:rPr>
          <w:rFonts w:cs="Arial"/>
          <w:sz w:val="20"/>
        </w:rPr>
        <w:t xml:space="preserve">À cet égard, </w:t>
      </w:r>
      <w:r w:rsidR="007D6CBA">
        <w:rPr>
          <w:rFonts w:cs="Arial"/>
          <w:sz w:val="20"/>
        </w:rPr>
        <w:t xml:space="preserve">voir </w:t>
      </w:r>
      <w:r w:rsidRPr="008150FB">
        <w:rPr>
          <w:rFonts w:cs="Arial"/>
          <w:sz w:val="20"/>
        </w:rPr>
        <w:t xml:space="preserve">l’analyse des notions de danger et de risque effectuée dans la décision </w:t>
      </w:r>
      <w:r w:rsidRPr="008150FB">
        <w:rPr>
          <w:rFonts w:cs="Arial"/>
          <w:i/>
          <w:sz w:val="20"/>
        </w:rPr>
        <w:t>Centre hospitalier de St. Mary</w:t>
      </w:r>
      <w:r w:rsidRPr="008150FB">
        <w:rPr>
          <w:rFonts w:cs="Arial"/>
          <w:sz w:val="20"/>
        </w:rPr>
        <w:t xml:space="preserve"> et </w:t>
      </w:r>
      <w:proofErr w:type="spellStart"/>
      <w:r w:rsidRPr="008150FB">
        <w:rPr>
          <w:rFonts w:cs="Arial"/>
          <w:i/>
          <w:sz w:val="20"/>
        </w:rPr>
        <w:t>Iracani</w:t>
      </w:r>
      <w:proofErr w:type="spellEnd"/>
      <w:r w:rsidRPr="008150FB">
        <w:rPr>
          <w:rFonts w:cs="Arial"/>
          <w:i/>
          <w:sz w:val="20"/>
        </w:rPr>
        <w:t>,</w:t>
      </w:r>
      <w:r w:rsidRPr="008150FB">
        <w:rPr>
          <w:rFonts w:cs="Arial"/>
          <w:sz w:val="20"/>
        </w:rPr>
        <w:t xml:space="preserve"> 2007 QCCLP 3971</w:t>
      </w:r>
      <w:r w:rsidR="0026439F">
        <w:rPr>
          <w:rFonts w:cs="Arial"/>
          <w:sz w:val="20"/>
        </w:rPr>
        <w:t>,</w:t>
      </w:r>
      <w:r w:rsidRPr="008150FB">
        <w:rPr>
          <w:rFonts w:cs="Arial"/>
          <w:sz w:val="20"/>
        </w:rPr>
        <w:t xml:space="preserve"> dans le contexte de la </w:t>
      </w:r>
      <w:r w:rsidRPr="008150FB">
        <w:rPr>
          <w:rFonts w:cs="Arial"/>
          <w:i/>
          <w:sz w:val="20"/>
        </w:rPr>
        <w:t xml:space="preserve">Loi sur la santé et la sécurité du travail, </w:t>
      </w:r>
      <w:r w:rsidRPr="008150FB">
        <w:rPr>
          <w:rFonts w:cs="Arial"/>
          <w:sz w:val="20"/>
        </w:rPr>
        <w:t>RLRQ, c. S-2.1, est utile, par analogie.</w:t>
      </w:r>
      <w:r w:rsidRPr="008150FB">
        <w:t xml:space="preserve"> </w:t>
      </w:r>
    </w:p>
  </w:footnote>
  <w:footnote w:id="12">
    <w:p w14:paraId="1FEF1662" w14:textId="12F0415E" w:rsidR="00846AC7" w:rsidRPr="002A2072" w:rsidRDefault="00846AC7" w:rsidP="002A2072">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2A2072">
        <w:rPr>
          <w:rFonts w:cs="Arial"/>
          <w:i/>
          <w:sz w:val="20"/>
        </w:rPr>
        <w:t>Hydro-Québec</w:t>
      </w:r>
      <w:r w:rsidRPr="002A2072">
        <w:rPr>
          <w:rFonts w:cs="Arial"/>
          <w:sz w:val="20"/>
        </w:rPr>
        <w:t xml:space="preserve"> c. </w:t>
      </w:r>
      <w:r w:rsidRPr="007D6CBA">
        <w:rPr>
          <w:rFonts w:cs="Arial"/>
          <w:i/>
          <w:sz w:val="20"/>
        </w:rPr>
        <w:t>Syndicat canadien de la fonction publique, section locale 1500</w:t>
      </w:r>
      <w:r w:rsidRPr="002A2072">
        <w:rPr>
          <w:rFonts w:cs="Arial"/>
          <w:sz w:val="20"/>
        </w:rPr>
        <w:t>, [1989] AZ</w:t>
      </w:r>
      <w:r w:rsidR="003D0145">
        <w:rPr>
          <w:rFonts w:cs="Arial"/>
          <w:sz w:val="20"/>
        </w:rPr>
        <w:noBreakHyphen/>
      </w:r>
      <w:r w:rsidRPr="002A2072">
        <w:rPr>
          <w:rFonts w:cs="Arial"/>
          <w:sz w:val="20"/>
        </w:rPr>
        <w:t>50013645 (C.S.E.)</w:t>
      </w:r>
      <w:r>
        <w:rPr>
          <w:rFonts w:cs="Arial"/>
          <w:sz w:val="20"/>
        </w:rPr>
        <w:t>, p. 10.</w:t>
      </w:r>
      <w:r w:rsidRPr="002A2072">
        <w:rPr>
          <w:rFonts w:cs="Arial"/>
          <w:sz w:val="20"/>
        </w:rPr>
        <w:t xml:space="preserve"> </w:t>
      </w:r>
    </w:p>
  </w:footnote>
  <w:footnote w:id="13">
    <w:p w14:paraId="323A6713" w14:textId="2F2A0DB3" w:rsidR="00846AC7" w:rsidRPr="002A361C" w:rsidRDefault="00846AC7" w:rsidP="00B71D2B">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L’E</w:t>
      </w:r>
      <w:r w:rsidRPr="002A361C">
        <w:rPr>
          <w:rFonts w:cs="Arial"/>
          <w:sz w:val="20"/>
        </w:rPr>
        <w:t>ntente commu</w:t>
      </w:r>
      <w:r>
        <w:rPr>
          <w:rFonts w:cs="Arial"/>
          <w:sz w:val="20"/>
        </w:rPr>
        <w:t xml:space="preserve">ne pour l'exploitation en mode </w:t>
      </w:r>
      <w:r w:rsidR="003D0145">
        <w:rPr>
          <w:rFonts w:cs="Arial"/>
          <w:sz w:val="20"/>
        </w:rPr>
        <w:t>îloté</w:t>
      </w:r>
      <w:r w:rsidRPr="002A361C">
        <w:rPr>
          <w:rFonts w:cs="Arial"/>
          <w:sz w:val="20"/>
        </w:rPr>
        <w:t xml:space="preserve"> </w:t>
      </w:r>
      <w:r>
        <w:rPr>
          <w:rFonts w:cs="Arial"/>
          <w:sz w:val="20"/>
        </w:rPr>
        <w:t>de la centrale S</w:t>
      </w:r>
      <w:r w:rsidRPr="002A361C">
        <w:rPr>
          <w:rFonts w:cs="Arial"/>
          <w:sz w:val="20"/>
        </w:rPr>
        <w:t xml:space="preserve">enneterre sur les charges d’Hydro-Québec </w:t>
      </w:r>
      <w:r>
        <w:rPr>
          <w:rFonts w:cs="Arial"/>
          <w:sz w:val="20"/>
        </w:rPr>
        <w:t xml:space="preserve">intervenue entre celle-ci et Société en commandite </w:t>
      </w:r>
      <w:proofErr w:type="spellStart"/>
      <w:r>
        <w:rPr>
          <w:rFonts w:cs="Arial"/>
          <w:sz w:val="20"/>
        </w:rPr>
        <w:t>Boralex</w:t>
      </w:r>
      <w:proofErr w:type="spellEnd"/>
      <w:r>
        <w:rPr>
          <w:rFonts w:cs="Arial"/>
          <w:sz w:val="20"/>
        </w:rPr>
        <w:t xml:space="preserve"> Énergie est cédée à l’employeur le 1</w:t>
      </w:r>
      <w:r w:rsidRPr="001C3CFE">
        <w:rPr>
          <w:rFonts w:cs="Arial"/>
          <w:sz w:val="20"/>
          <w:vertAlign w:val="superscript"/>
        </w:rPr>
        <w:t>er</w:t>
      </w:r>
      <w:r>
        <w:rPr>
          <w:rFonts w:cs="Arial"/>
          <w:sz w:val="20"/>
        </w:rPr>
        <w:t xml:space="preserve"> avril </w:t>
      </w:r>
      <w:r w:rsidRPr="002A361C">
        <w:rPr>
          <w:rFonts w:cs="Arial"/>
          <w:sz w:val="20"/>
        </w:rPr>
        <w:t>2022</w:t>
      </w:r>
      <w:r>
        <w:rPr>
          <w:rFonts w:cs="Arial"/>
          <w:sz w:val="20"/>
        </w:rPr>
        <w:t>.</w:t>
      </w:r>
    </w:p>
  </w:footnote>
  <w:footnote w:id="14">
    <w:p w14:paraId="05910398" w14:textId="06B9583B" w:rsidR="00846AC7" w:rsidRPr="007E2909" w:rsidRDefault="00846AC7" w:rsidP="00123BA8">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7E2909">
        <w:rPr>
          <w:rFonts w:cs="Arial"/>
          <w:sz w:val="20"/>
        </w:rPr>
        <w:t>Contrat d’achat d’électricité relatif à des installations situées à Senneterr</w:t>
      </w:r>
      <w:r w:rsidR="003D0145">
        <w:rPr>
          <w:rFonts w:cs="Arial"/>
          <w:sz w:val="20"/>
        </w:rPr>
        <w:t xml:space="preserve">e : </w:t>
      </w:r>
      <w:r w:rsidRPr="007E2909">
        <w:rPr>
          <w:rFonts w:cs="Arial"/>
          <w:sz w:val="20"/>
        </w:rPr>
        <w:t>Entente relative à la suspension d’une portion des livraisons d’énergie pour les</w:t>
      </w:r>
      <w:r>
        <w:rPr>
          <w:rFonts w:cs="Arial"/>
          <w:sz w:val="20"/>
        </w:rPr>
        <w:t xml:space="preserve"> </w:t>
      </w:r>
      <w:r w:rsidRPr="007E2909">
        <w:rPr>
          <w:rFonts w:cs="Arial"/>
          <w:sz w:val="20"/>
        </w:rPr>
        <w:t>années 2019 à 2026 et réaménagements de certaines dispositions concernant les</w:t>
      </w:r>
      <w:r>
        <w:rPr>
          <w:rFonts w:cs="Arial"/>
          <w:sz w:val="20"/>
        </w:rPr>
        <w:t xml:space="preserve"> </w:t>
      </w:r>
      <w:r w:rsidRPr="007E2909">
        <w:rPr>
          <w:rFonts w:cs="Arial"/>
          <w:sz w:val="20"/>
        </w:rPr>
        <w:t>quantités contractuelles</w:t>
      </w:r>
      <w:r>
        <w:rPr>
          <w:rFonts w:cs="Arial"/>
          <w:sz w:val="20"/>
        </w:rPr>
        <w:t xml:space="preserve"> du 22</w:t>
      </w:r>
      <w:r w:rsidR="003D0145">
        <w:rPr>
          <w:rFonts w:cs="Arial"/>
          <w:sz w:val="20"/>
        </w:rPr>
        <w:t> </w:t>
      </w:r>
      <w:r>
        <w:rPr>
          <w:rFonts w:cs="Arial"/>
          <w:sz w:val="20"/>
        </w:rPr>
        <w:t>décembre 2016.</w:t>
      </w:r>
    </w:p>
  </w:footnote>
  <w:footnote w:id="15">
    <w:p w14:paraId="188DFA9A" w14:textId="68116C6E" w:rsidR="00AE36B4" w:rsidRPr="00AE36B4" w:rsidRDefault="00AE36B4" w:rsidP="00AE36B4">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Déclaration sous serment de Guy Girard, directeur de la centrale thermique Senneterre, du 21</w:t>
      </w:r>
      <w:r w:rsidR="003D0145">
        <w:rPr>
          <w:rFonts w:cs="Arial"/>
          <w:sz w:val="20"/>
        </w:rPr>
        <w:t> </w:t>
      </w:r>
      <w:r>
        <w:rPr>
          <w:rFonts w:cs="Arial"/>
          <w:sz w:val="20"/>
        </w:rPr>
        <w:t>décembre 2022.</w:t>
      </w:r>
    </w:p>
  </w:footnote>
  <w:footnote w:id="16">
    <w:p w14:paraId="687DD136" w14:textId="77777777" w:rsidR="00846AC7" w:rsidRPr="002D4F4B" w:rsidRDefault="00846AC7" w:rsidP="006758F5">
      <w:pPr>
        <w:pStyle w:val="Notedebasdepage"/>
        <w:tabs>
          <w:tab w:val="left" w:pos="720"/>
        </w:tabs>
        <w:jc w:val="both"/>
        <w:rPr>
          <w:rFonts w:cs="Arial"/>
          <w:sz w:val="20"/>
        </w:rPr>
      </w:pPr>
    </w:p>
  </w:footnote>
  <w:footnote w:id="17">
    <w:p w14:paraId="7AC135C1" w14:textId="5D057A65" w:rsidR="00AE36B4" w:rsidRPr="00AE36B4" w:rsidRDefault="00AE36B4" w:rsidP="00AE36B4">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Déclaration assermentée de Sébastien Lesage, 29 novembre 2022.</w:t>
      </w:r>
    </w:p>
  </w:footnote>
  <w:footnote w:id="18">
    <w:p w14:paraId="6C3F6D08" w14:textId="77777777" w:rsidR="00846AC7" w:rsidRPr="00FB4FBD" w:rsidRDefault="00846AC7" w:rsidP="00F91A11">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Déclaration assermentée de Manon Charron, 29 novembre 2022.</w:t>
      </w:r>
    </w:p>
  </w:footnote>
  <w:footnote w:id="19">
    <w:p w14:paraId="5846CF8E" w14:textId="77777777" w:rsidR="00846AC7" w:rsidRPr="00455FA3" w:rsidRDefault="00846AC7" w:rsidP="00501059">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Article 10 de l’amendement n</w:t>
      </w:r>
      <w:r w:rsidRPr="007D6CBA">
        <w:rPr>
          <w:rFonts w:cs="Arial"/>
          <w:sz w:val="20"/>
          <w:vertAlign w:val="superscript"/>
        </w:rPr>
        <w:t>o</w:t>
      </w:r>
      <w:r>
        <w:rPr>
          <w:rFonts w:cs="Arial"/>
          <w:sz w:val="20"/>
        </w:rPr>
        <w:t xml:space="preserve"> 4.</w:t>
      </w:r>
    </w:p>
  </w:footnote>
  <w:footnote w:id="20">
    <w:p w14:paraId="2F9559F9" w14:textId="4C754F40" w:rsidR="00846AC7" w:rsidRPr="003E2203" w:rsidRDefault="00846AC7" w:rsidP="00083F51">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0026439F">
        <w:rPr>
          <w:rFonts w:cs="Arial"/>
          <w:sz w:val="20"/>
        </w:rPr>
        <w:t>Précitée, note 15.</w:t>
      </w:r>
    </w:p>
  </w:footnote>
  <w:footnote w:id="21">
    <w:p w14:paraId="0FA961B4" w14:textId="6490E16D" w:rsidR="00846AC7" w:rsidRPr="00C37712" w:rsidRDefault="00846AC7" w:rsidP="00C37712">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0026439F">
        <w:rPr>
          <w:rFonts w:cs="Arial"/>
          <w:sz w:val="20"/>
        </w:rPr>
        <w:t>Précitée, note 15.</w:t>
      </w:r>
    </w:p>
  </w:footnote>
  <w:footnote w:id="22">
    <w:p w14:paraId="7015EB5D" w14:textId="3EABB99F" w:rsidR="00846AC7" w:rsidRPr="00F30BA0" w:rsidRDefault="00846AC7" w:rsidP="00A4401E">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 xml:space="preserve">Article 10 de l’amendement </w:t>
      </w:r>
      <w:r w:rsidR="003C13A8">
        <w:rPr>
          <w:rFonts w:cs="Arial"/>
          <w:sz w:val="20"/>
        </w:rPr>
        <w:t>n</w:t>
      </w:r>
      <w:r w:rsidR="003C13A8" w:rsidRPr="007D6CBA">
        <w:rPr>
          <w:rFonts w:cs="Arial"/>
          <w:sz w:val="20"/>
          <w:vertAlign w:val="superscript"/>
        </w:rPr>
        <w:t>o</w:t>
      </w:r>
      <w:r w:rsidR="003C13A8">
        <w:rPr>
          <w:rFonts w:cs="Arial"/>
          <w:sz w:val="20"/>
        </w:rPr>
        <w:t xml:space="preserve"> </w:t>
      </w:r>
      <w:r>
        <w:rPr>
          <w:rFonts w:cs="Arial"/>
          <w:sz w:val="20"/>
        </w:rPr>
        <w:t xml:space="preserve">4. </w:t>
      </w:r>
    </w:p>
  </w:footnote>
  <w:footnote w:id="23">
    <w:p w14:paraId="13F338BD" w14:textId="15F3C653" w:rsidR="00846AC7" w:rsidRPr="004852C8" w:rsidRDefault="00846AC7" w:rsidP="004852C8">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 xml:space="preserve">Courriel du 18 octobre 2022 de Lyne Gauvin, </w:t>
      </w:r>
      <w:r w:rsidR="003C13A8">
        <w:rPr>
          <w:rFonts w:cs="Arial"/>
          <w:sz w:val="20"/>
        </w:rPr>
        <w:t>d</w:t>
      </w:r>
      <w:r>
        <w:rPr>
          <w:rFonts w:cs="Arial"/>
          <w:sz w:val="20"/>
        </w:rPr>
        <w:t>éléguée commerciale - Clientèle Grande puissance, Hydro-Québec.</w:t>
      </w:r>
    </w:p>
  </w:footnote>
  <w:footnote w:id="24">
    <w:p w14:paraId="74D45824" w14:textId="77777777" w:rsidR="00185C5D" w:rsidRPr="008150FB" w:rsidRDefault="00185C5D" w:rsidP="00185C5D">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8150FB">
        <w:rPr>
          <w:rFonts w:cs="Arial"/>
          <w:sz w:val="20"/>
        </w:rPr>
        <w:t xml:space="preserve">À cet égard, l’analyse des notions de danger et de risque effectuée dans la décision </w:t>
      </w:r>
      <w:r w:rsidRPr="008150FB">
        <w:rPr>
          <w:rFonts w:cs="Arial"/>
          <w:i/>
          <w:sz w:val="20"/>
        </w:rPr>
        <w:t>Centre hospitalier de St. Mary</w:t>
      </w:r>
      <w:r w:rsidRPr="008150FB">
        <w:rPr>
          <w:rFonts w:cs="Arial"/>
          <w:sz w:val="20"/>
        </w:rPr>
        <w:t xml:space="preserve"> et </w:t>
      </w:r>
      <w:proofErr w:type="spellStart"/>
      <w:r w:rsidRPr="008150FB">
        <w:rPr>
          <w:rFonts w:cs="Arial"/>
          <w:i/>
          <w:sz w:val="20"/>
        </w:rPr>
        <w:t>Iracani</w:t>
      </w:r>
      <w:proofErr w:type="spellEnd"/>
      <w:r w:rsidRPr="008150FB">
        <w:rPr>
          <w:rFonts w:cs="Arial"/>
          <w:i/>
          <w:sz w:val="20"/>
        </w:rPr>
        <w:t>,</w:t>
      </w:r>
      <w:r w:rsidRPr="008150FB">
        <w:rPr>
          <w:rFonts w:cs="Arial"/>
          <w:sz w:val="20"/>
        </w:rPr>
        <w:t xml:space="preserve"> 2007 QCCLP 3971 dans le contexte de la </w:t>
      </w:r>
      <w:r w:rsidRPr="008150FB">
        <w:rPr>
          <w:rFonts w:cs="Arial"/>
          <w:i/>
          <w:sz w:val="20"/>
        </w:rPr>
        <w:t xml:space="preserve">Loi sur la santé et la sécurité du travail, </w:t>
      </w:r>
      <w:r w:rsidRPr="008150FB">
        <w:rPr>
          <w:rFonts w:cs="Arial"/>
          <w:sz w:val="20"/>
        </w:rPr>
        <w:t>RLRQ, c. S-2.1, est utile, par analogie.</w:t>
      </w:r>
      <w:r w:rsidRPr="008150FB">
        <w:t xml:space="preserve"> </w:t>
      </w:r>
    </w:p>
  </w:footnote>
  <w:footnote w:id="25">
    <w:p w14:paraId="114640BC" w14:textId="08CF5DC8" w:rsidR="00846AC7" w:rsidRPr="00FD31BF" w:rsidRDefault="00846AC7" w:rsidP="00C03B31">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FD31BF">
        <w:rPr>
          <w:rFonts w:cs="Arial"/>
          <w:i/>
          <w:iCs/>
          <w:sz w:val="20"/>
        </w:rPr>
        <w:t xml:space="preserve">Municipalité régionale de comté des </w:t>
      </w:r>
      <w:proofErr w:type="spellStart"/>
      <w:r w:rsidRPr="00FD31BF">
        <w:rPr>
          <w:rFonts w:cs="Arial"/>
          <w:i/>
          <w:iCs/>
          <w:sz w:val="20"/>
        </w:rPr>
        <w:t>Collines-de-l’Outaouais</w:t>
      </w:r>
      <w:proofErr w:type="spellEnd"/>
      <w:r w:rsidRPr="00FD31BF">
        <w:rPr>
          <w:rFonts w:cs="Arial"/>
          <w:sz w:val="20"/>
        </w:rPr>
        <w:t xml:space="preserve"> et </w:t>
      </w:r>
      <w:r w:rsidRPr="00FD31BF">
        <w:rPr>
          <w:rFonts w:cs="Arial"/>
          <w:i/>
          <w:iCs/>
          <w:sz w:val="20"/>
        </w:rPr>
        <w:t xml:space="preserve">Syndicat des travailleuses et travailleurs de la MRC des </w:t>
      </w:r>
      <w:proofErr w:type="spellStart"/>
      <w:r w:rsidRPr="00FD31BF">
        <w:rPr>
          <w:rFonts w:cs="Arial"/>
          <w:i/>
          <w:iCs/>
          <w:sz w:val="20"/>
        </w:rPr>
        <w:t>Collines-de-l’Outaouais-CSN</w:t>
      </w:r>
      <w:proofErr w:type="spellEnd"/>
      <w:r w:rsidRPr="00FD31BF">
        <w:rPr>
          <w:rFonts w:cs="Arial"/>
          <w:sz w:val="20"/>
        </w:rPr>
        <w:t>, 2022 QCTAT 4776</w:t>
      </w:r>
      <w:r w:rsidR="003C13A8">
        <w:rPr>
          <w:rFonts w:cs="Arial"/>
          <w:sz w:val="20"/>
        </w:rPr>
        <w:t>.</w:t>
      </w:r>
    </w:p>
  </w:footnote>
  <w:footnote w:id="26">
    <w:p w14:paraId="4F2E3640" w14:textId="164D7DC1" w:rsidR="00846AC7" w:rsidRPr="00E9718A" w:rsidRDefault="00846AC7" w:rsidP="00E9718A">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 xml:space="preserve">Clause 3 du </w:t>
      </w:r>
      <w:r w:rsidRPr="007E2909">
        <w:rPr>
          <w:rFonts w:cs="Arial"/>
          <w:sz w:val="20"/>
        </w:rPr>
        <w:t>Contrat d’achat d’électricité relatif à des installations situées à Senneterr</w:t>
      </w:r>
      <w:r w:rsidR="00DE13A4">
        <w:rPr>
          <w:rFonts w:cs="Arial"/>
          <w:sz w:val="20"/>
        </w:rPr>
        <w:t>e</w:t>
      </w:r>
      <w:r w:rsidRPr="007E2909">
        <w:rPr>
          <w:rFonts w:cs="Arial"/>
          <w:sz w:val="20"/>
        </w:rPr>
        <w:t xml:space="preserve"> :</w:t>
      </w:r>
      <w:r w:rsidR="00DE13A4">
        <w:rPr>
          <w:rFonts w:cs="Arial"/>
          <w:sz w:val="20"/>
        </w:rPr>
        <w:t xml:space="preserve"> </w:t>
      </w:r>
      <w:r w:rsidRPr="007E2909">
        <w:rPr>
          <w:rFonts w:cs="Arial"/>
          <w:sz w:val="20"/>
        </w:rPr>
        <w:t>Entente relative à la suspension d’une portion des livraisons d’énergie pour les</w:t>
      </w:r>
      <w:r>
        <w:rPr>
          <w:rFonts w:cs="Arial"/>
          <w:sz w:val="20"/>
        </w:rPr>
        <w:t xml:space="preserve"> </w:t>
      </w:r>
      <w:r w:rsidRPr="007E2909">
        <w:rPr>
          <w:rFonts w:cs="Arial"/>
          <w:sz w:val="20"/>
        </w:rPr>
        <w:t>années 2019 à 2026 et réaménagements de certaines dispositions concernant les</w:t>
      </w:r>
      <w:r>
        <w:rPr>
          <w:rFonts w:cs="Arial"/>
          <w:sz w:val="20"/>
        </w:rPr>
        <w:t xml:space="preserve"> </w:t>
      </w:r>
      <w:r w:rsidRPr="007E2909">
        <w:rPr>
          <w:rFonts w:cs="Arial"/>
          <w:sz w:val="20"/>
        </w:rPr>
        <w:t>quantités contractuelles</w:t>
      </w:r>
      <w:r>
        <w:rPr>
          <w:rFonts w:cs="Arial"/>
          <w:sz w:val="20"/>
        </w:rPr>
        <w:t xml:space="preserve"> du 22  décembre 2016.</w:t>
      </w:r>
    </w:p>
  </w:footnote>
  <w:footnote w:id="27">
    <w:p w14:paraId="3AE419CE" w14:textId="1683F2A4" w:rsidR="00846AC7" w:rsidRPr="00EE1E0F" w:rsidRDefault="00846AC7" w:rsidP="00EE1E0F">
      <w:pPr>
        <w:pStyle w:val="Notedebasdepage"/>
        <w:tabs>
          <w:tab w:val="left" w:pos="720"/>
        </w:tabs>
        <w:ind w:left="720" w:hanging="720"/>
        <w:jc w:val="both"/>
        <w:rPr>
          <w:rFonts w:cs="Arial"/>
          <w:sz w:val="20"/>
        </w:rPr>
      </w:pPr>
      <w:r>
        <w:rPr>
          <w:rStyle w:val="Appelnotedebasdep"/>
        </w:rPr>
        <w:footnoteRef/>
      </w:r>
      <w:r w:rsidRPr="00EE1E0F">
        <w:t xml:space="preserve"> </w:t>
      </w:r>
      <w:r w:rsidRPr="00EE1E0F">
        <w:rPr>
          <w:rFonts w:cs="Arial"/>
          <w:sz w:val="20"/>
        </w:rPr>
        <w:tab/>
        <w:t>L’annexe A et l’article 39 du contrat n’ont pas été produit</w:t>
      </w:r>
      <w:r w:rsidR="00DE13A4">
        <w:rPr>
          <w:rFonts w:cs="Arial"/>
          <w:sz w:val="20"/>
        </w:rPr>
        <w:t>s</w:t>
      </w:r>
      <w:r w:rsidRPr="00EE1E0F">
        <w:rPr>
          <w:rFonts w:cs="Arial"/>
          <w:sz w:val="20"/>
        </w:rPr>
        <w:t xml:space="preserve"> en </w:t>
      </w:r>
      <w:r w:rsidR="0080367E" w:rsidRPr="00EE1E0F">
        <w:rPr>
          <w:rFonts w:cs="Arial"/>
          <w:sz w:val="20"/>
        </w:rPr>
        <w:t>preuve</w:t>
      </w:r>
      <w:r w:rsidRPr="00EE1E0F">
        <w:rPr>
          <w:rFonts w:cs="Arial"/>
          <w:sz w:val="20"/>
        </w:rPr>
        <w:t>.</w:t>
      </w:r>
    </w:p>
  </w:footnote>
  <w:footnote w:id="28">
    <w:p w14:paraId="5BBEC488" w14:textId="01B145CC" w:rsidR="00846AC7" w:rsidRPr="007D6CBA" w:rsidRDefault="00846AC7" w:rsidP="00607D4E">
      <w:pPr>
        <w:pStyle w:val="Notedebasdepage"/>
        <w:tabs>
          <w:tab w:val="left" w:pos="720"/>
        </w:tabs>
        <w:ind w:left="720" w:hanging="720"/>
        <w:jc w:val="both"/>
        <w:rPr>
          <w:rFonts w:cs="Arial"/>
          <w:sz w:val="20"/>
        </w:rPr>
      </w:pPr>
      <w:r>
        <w:rPr>
          <w:rStyle w:val="Appelnotedebasdep"/>
        </w:rPr>
        <w:footnoteRef/>
      </w:r>
      <w:r w:rsidRPr="00C954DA">
        <w:t xml:space="preserve"> </w:t>
      </w:r>
      <w:r w:rsidRPr="00C954DA">
        <w:rPr>
          <w:rFonts w:cs="Arial"/>
          <w:sz w:val="20"/>
        </w:rPr>
        <w:tab/>
      </w:r>
      <w:r w:rsidR="0026439F">
        <w:rPr>
          <w:rFonts w:cs="Arial"/>
          <w:sz w:val="20"/>
        </w:rPr>
        <w:t>Précitée, note 8;</w:t>
      </w:r>
      <w:r w:rsidRPr="00C954DA">
        <w:rPr>
          <w:rFonts w:cs="Arial"/>
          <w:sz w:val="20"/>
        </w:rPr>
        <w:t xml:space="preserve"> </w:t>
      </w:r>
      <w:r w:rsidRPr="007D6CBA">
        <w:rPr>
          <w:rFonts w:cs="Arial"/>
          <w:sz w:val="20"/>
        </w:rPr>
        <w:t xml:space="preserve">Voir </w:t>
      </w:r>
      <w:r w:rsidRPr="007D6CBA">
        <w:rPr>
          <w:rFonts w:cs="Arial"/>
          <w:i/>
          <w:sz w:val="20"/>
        </w:rPr>
        <w:t xml:space="preserve">Sherman (Succession) </w:t>
      </w:r>
      <w:r w:rsidRPr="007D6CBA">
        <w:rPr>
          <w:rFonts w:cs="Arial"/>
          <w:sz w:val="20"/>
        </w:rPr>
        <w:t xml:space="preserve">c. </w:t>
      </w:r>
      <w:r w:rsidRPr="007D6CBA">
        <w:rPr>
          <w:rFonts w:cs="Arial"/>
          <w:i/>
          <w:sz w:val="20"/>
        </w:rPr>
        <w:t>Donovan</w:t>
      </w:r>
      <w:r w:rsidRPr="007D6CBA">
        <w:rPr>
          <w:rFonts w:cs="Arial"/>
          <w:sz w:val="20"/>
        </w:rPr>
        <w:t>, 2021 CSC 25.</w:t>
      </w:r>
    </w:p>
  </w:footnote>
  <w:footnote w:id="29">
    <w:p w14:paraId="4086874C" w14:textId="35DE1325" w:rsidR="00846AC7" w:rsidRPr="007D6CBA" w:rsidRDefault="00846AC7" w:rsidP="00EE1E0F">
      <w:pPr>
        <w:pStyle w:val="Notedebasdepage"/>
        <w:tabs>
          <w:tab w:val="left" w:pos="720"/>
        </w:tabs>
        <w:ind w:left="720" w:hanging="720"/>
        <w:jc w:val="both"/>
        <w:rPr>
          <w:rFonts w:cs="Arial"/>
          <w:sz w:val="20"/>
        </w:rPr>
      </w:pPr>
      <w:r>
        <w:rPr>
          <w:rStyle w:val="Appelnotedebasdep"/>
        </w:rPr>
        <w:footnoteRef/>
      </w:r>
      <w:r w:rsidRPr="007D6CBA">
        <w:t xml:space="preserve"> </w:t>
      </w:r>
      <w:r w:rsidRPr="007D6CBA">
        <w:rPr>
          <w:rFonts w:cs="Arial"/>
          <w:sz w:val="20"/>
        </w:rPr>
        <w:tab/>
      </w:r>
      <w:r w:rsidR="0026439F" w:rsidRPr="007D6CBA">
        <w:rPr>
          <w:rFonts w:cs="Arial"/>
          <w:sz w:val="20"/>
        </w:rPr>
        <w:t>Précitée, note 8.</w:t>
      </w:r>
    </w:p>
  </w:footnote>
  <w:footnote w:id="30">
    <w:p w14:paraId="04014C0D" w14:textId="77777777" w:rsidR="00846AC7" w:rsidRPr="007D6CBA" w:rsidRDefault="00846AC7" w:rsidP="00EE1E0F">
      <w:pPr>
        <w:pStyle w:val="Notedebasdepage"/>
        <w:jc w:val="both"/>
      </w:pPr>
      <w:r>
        <w:rPr>
          <w:rStyle w:val="Appelnotedebasdep"/>
        </w:rPr>
        <w:footnoteRef/>
      </w:r>
      <w:r w:rsidRPr="007D6CBA">
        <w:t xml:space="preserve"> </w:t>
      </w:r>
      <w:r w:rsidRPr="007D6CBA">
        <w:tab/>
      </w:r>
      <w:r w:rsidRPr="007D6CBA">
        <w:rPr>
          <w:i/>
          <w:sz w:val="20"/>
        </w:rPr>
        <w:t>Id</w:t>
      </w:r>
      <w:r w:rsidRPr="007D6CBA">
        <w:rPr>
          <w:sz w:val="20"/>
        </w:rPr>
        <w:t>., art. 56.</w:t>
      </w:r>
    </w:p>
  </w:footnote>
  <w:footnote w:id="31">
    <w:p w14:paraId="40CF2F3E" w14:textId="23914C52" w:rsidR="00846AC7" w:rsidRPr="00356293" w:rsidRDefault="00846AC7" w:rsidP="002C6122">
      <w:pPr>
        <w:pStyle w:val="Notedebasdepage"/>
        <w:ind w:left="720" w:hanging="720"/>
        <w:jc w:val="both"/>
        <w:rPr>
          <w:strike/>
        </w:rPr>
      </w:pPr>
      <w:r>
        <w:rPr>
          <w:rStyle w:val="Appelnotedebasdep"/>
        </w:rPr>
        <w:footnoteRef/>
      </w:r>
      <w:r>
        <w:t xml:space="preserve"> </w:t>
      </w:r>
      <w:r>
        <w:tab/>
      </w:r>
      <w:r>
        <w:rPr>
          <w:i/>
          <w:sz w:val="20"/>
        </w:rPr>
        <w:t>Règles de preuve et de procédure du Tribunal administratif du travail</w:t>
      </w:r>
      <w:r>
        <w:rPr>
          <w:sz w:val="20"/>
        </w:rPr>
        <w:t>, RLRQ, c. T</w:t>
      </w:r>
      <w:r>
        <w:rPr>
          <w:sz w:val="20"/>
        </w:rPr>
        <w:noBreakHyphen/>
        <w:t>15.1, r. 1.1, art.</w:t>
      </w:r>
      <w:r w:rsidR="00243216">
        <w:rPr>
          <w:sz w:val="20"/>
        </w:rPr>
        <w:t> </w:t>
      </w:r>
      <w:r>
        <w:rPr>
          <w:sz w:val="20"/>
        </w:rPr>
        <w:t xml:space="preserve">35 et </w:t>
      </w:r>
      <w:r>
        <w:rPr>
          <w:rFonts w:cs="Arial"/>
          <w:i/>
          <w:sz w:val="20"/>
        </w:rPr>
        <w:t>Loi instituant le Tribunal administratif du travail</w:t>
      </w:r>
      <w:r>
        <w:rPr>
          <w:rFonts w:cs="Arial"/>
          <w:sz w:val="20"/>
        </w:rPr>
        <w:t xml:space="preserve">, </w:t>
      </w:r>
      <w:r w:rsidRPr="008716E9">
        <w:rPr>
          <w:sz w:val="20"/>
        </w:rPr>
        <w:t>RLRQ, c. T</w:t>
      </w:r>
      <w:r w:rsidRPr="008716E9">
        <w:rPr>
          <w:sz w:val="20"/>
        </w:rPr>
        <w:noBreakHyphen/>
        <w:t>15.1</w:t>
      </w:r>
      <w:r>
        <w:rPr>
          <w:sz w:val="20"/>
        </w:rPr>
        <w:t xml:space="preserve">, art. 9. </w:t>
      </w:r>
    </w:p>
  </w:footnote>
  <w:footnote w:id="32">
    <w:p w14:paraId="675430EB" w14:textId="11145E6B" w:rsidR="00846AC7" w:rsidRPr="00F0516A" w:rsidRDefault="00846AC7" w:rsidP="00607D4E">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 xml:space="preserve">Précitée, note </w:t>
      </w:r>
      <w:r w:rsidR="003C13A8">
        <w:rPr>
          <w:rFonts w:cs="Arial"/>
          <w:sz w:val="20"/>
        </w:rPr>
        <w:t>28</w:t>
      </w:r>
      <w:r>
        <w:rPr>
          <w:rFonts w:cs="Arial"/>
          <w:sz w:val="20"/>
        </w:rPr>
        <w:t>.</w:t>
      </w:r>
    </w:p>
  </w:footnote>
  <w:footnote w:id="33">
    <w:p w14:paraId="23E58795" w14:textId="77777777" w:rsidR="00846AC7" w:rsidRPr="006508C2" w:rsidRDefault="00846AC7" w:rsidP="00607D4E">
      <w:pPr>
        <w:pStyle w:val="Notedebasdepage"/>
        <w:tabs>
          <w:tab w:val="left" w:pos="720"/>
        </w:tabs>
        <w:ind w:left="720" w:hanging="720"/>
        <w:jc w:val="both"/>
        <w:rPr>
          <w:rFonts w:cs="Arial"/>
          <w:sz w:val="20"/>
        </w:rPr>
      </w:pPr>
      <w:r>
        <w:rPr>
          <w:rStyle w:val="Appelnotedebasdep"/>
        </w:rPr>
        <w:footnoteRef/>
      </w:r>
      <w:r w:rsidRPr="006508C2">
        <w:t xml:space="preserve"> </w:t>
      </w:r>
      <w:r w:rsidRPr="006508C2">
        <w:rPr>
          <w:rFonts w:cs="Arial"/>
          <w:sz w:val="20"/>
        </w:rPr>
        <w:tab/>
      </w:r>
      <w:r w:rsidRPr="006508C2">
        <w:rPr>
          <w:rFonts w:cs="Arial"/>
          <w:i/>
          <w:sz w:val="20"/>
        </w:rPr>
        <w:t xml:space="preserve">R. </w:t>
      </w:r>
      <w:r w:rsidRPr="006508C2">
        <w:rPr>
          <w:rFonts w:cs="Arial"/>
          <w:sz w:val="20"/>
        </w:rPr>
        <w:t>c.</w:t>
      </w:r>
      <w:r w:rsidRPr="006508C2">
        <w:rPr>
          <w:rFonts w:cs="Arial"/>
          <w:i/>
          <w:sz w:val="20"/>
        </w:rPr>
        <w:t xml:space="preserve"> </w:t>
      </w:r>
      <w:proofErr w:type="spellStart"/>
      <w:r w:rsidRPr="006508C2">
        <w:rPr>
          <w:rFonts w:cs="Arial"/>
          <w:i/>
          <w:sz w:val="20"/>
        </w:rPr>
        <w:t>Mentuck</w:t>
      </w:r>
      <w:proofErr w:type="spellEnd"/>
      <w:r w:rsidRPr="006508C2">
        <w:rPr>
          <w:rFonts w:cs="Arial"/>
          <w:sz w:val="20"/>
        </w:rPr>
        <w:t xml:space="preserve">, 2001 </w:t>
      </w:r>
      <w:r>
        <w:rPr>
          <w:rFonts w:cs="Arial"/>
          <w:sz w:val="20"/>
        </w:rPr>
        <w:t xml:space="preserve">CSC </w:t>
      </w:r>
      <w:r w:rsidRPr="006508C2">
        <w:rPr>
          <w:rFonts w:cs="Arial"/>
          <w:sz w:val="20"/>
        </w:rPr>
        <w:t>76.</w:t>
      </w:r>
    </w:p>
  </w:footnote>
  <w:footnote w:id="34">
    <w:p w14:paraId="378F1B4C" w14:textId="77777777" w:rsidR="00846AC7" w:rsidRPr="00846AC7" w:rsidRDefault="00846AC7" w:rsidP="00846AC7">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846AC7">
        <w:rPr>
          <w:rFonts w:cs="Arial"/>
          <w:sz w:val="20"/>
        </w:rPr>
        <w:t>2021 QCCS 4954</w:t>
      </w:r>
      <w:r>
        <w:rPr>
          <w:rFonts w:cs="Arial"/>
          <w:sz w:val="20"/>
        </w:rPr>
        <w:t>.</w:t>
      </w:r>
    </w:p>
  </w:footnote>
  <w:footnote w:id="35">
    <w:p w14:paraId="081706FB" w14:textId="77777777" w:rsidR="00846AC7" w:rsidRPr="00FE5DF1" w:rsidRDefault="00846AC7" w:rsidP="00FE5DF1">
      <w:pPr>
        <w:pStyle w:val="Notedebasdepage"/>
        <w:tabs>
          <w:tab w:val="left" w:pos="720"/>
        </w:tabs>
        <w:ind w:left="720" w:hanging="720"/>
        <w:jc w:val="both"/>
        <w:rPr>
          <w:rFonts w:cs="Arial"/>
          <w:sz w:val="20"/>
        </w:rPr>
      </w:pPr>
      <w:r>
        <w:rPr>
          <w:rStyle w:val="Appelnotedebasdep"/>
        </w:rPr>
        <w:footnoteRef/>
      </w:r>
      <w:r w:rsidRPr="00FE5DF1">
        <w:t xml:space="preserve"> </w:t>
      </w:r>
      <w:r w:rsidRPr="00FE5DF1">
        <w:rPr>
          <w:rFonts w:cs="Arial"/>
          <w:sz w:val="20"/>
        </w:rPr>
        <w:tab/>
      </w:r>
      <w:r w:rsidRPr="00FE5DF1">
        <w:rPr>
          <w:rFonts w:cs="Arial"/>
          <w:i/>
          <w:iCs/>
          <w:sz w:val="20"/>
        </w:rPr>
        <w:t xml:space="preserve">Raymond Chabot Grant </w:t>
      </w:r>
      <w:proofErr w:type="spellStart"/>
      <w:r w:rsidRPr="00FE5DF1">
        <w:rPr>
          <w:rFonts w:cs="Arial"/>
          <w:i/>
          <w:iCs/>
          <w:sz w:val="20"/>
        </w:rPr>
        <w:t>Thornton</w:t>
      </w:r>
      <w:proofErr w:type="spellEnd"/>
      <w:r w:rsidRPr="00FE5DF1">
        <w:rPr>
          <w:rFonts w:cs="Arial"/>
          <w:i/>
          <w:iCs/>
          <w:sz w:val="20"/>
        </w:rPr>
        <w:t xml:space="preserve"> </w:t>
      </w:r>
      <w:r w:rsidRPr="008210B5">
        <w:rPr>
          <w:rFonts w:cs="Arial"/>
          <w:iCs/>
          <w:sz w:val="20"/>
        </w:rPr>
        <w:t>c.</w:t>
      </w:r>
      <w:r w:rsidRPr="00FE5DF1">
        <w:rPr>
          <w:rFonts w:cs="Arial"/>
          <w:i/>
          <w:iCs/>
          <w:sz w:val="20"/>
        </w:rPr>
        <w:t xml:space="preserve"> Bourgeois, </w:t>
      </w:r>
      <w:r w:rsidRPr="008210B5">
        <w:rPr>
          <w:rFonts w:cs="Arial"/>
          <w:color w:val="212529"/>
          <w:sz w:val="20"/>
          <w:szCs w:val="21"/>
        </w:rPr>
        <w:t>2021 QCCS 2933.</w:t>
      </w:r>
    </w:p>
  </w:footnote>
  <w:footnote w:id="36">
    <w:p w14:paraId="767392E3" w14:textId="77777777" w:rsidR="00B71D2B" w:rsidRPr="00977458" w:rsidRDefault="00B71D2B" w:rsidP="002C6122">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proofErr w:type="spellStart"/>
      <w:r w:rsidRPr="00977458">
        <w:rPr>
          <w:rFonts w:cs="Arial"/>
          <w:i/>
          <w:sz w:val="20"/>
        </w:rPr>
        <w:t>Pelchat</w:t>
      </w:r>
      <w:proofErr w:type="spellEnd"/>
      <w:r w:rsidRPr="00977458">
        <w:rPr>
          <w:rFonts w:cs="Arial"/>
          <w:i/>
          <w:sz w:val="20"/>
        </w:rPr>
        <w:t xml:space="preserve"> </w:t>
      </w:r>
      <w:r w:rsidRPr="00977458">
        <w:rPr>
          <w:rFonts w:cs="Arial"/>
          <w:sz w:val="20"/>
        </w:rPr>
        <w:t>c</w:t>
      </w:r>
      <w:r w:rsidRPr="00977458">
        <w:rPr>
          <w:rFonts w:cs="Arial"/>
          <w:i/>
          <w:sz w:val="20"/>
        </w:rPr>
        <w:t>. Astral Média inc.</w:t>
      </w:r>
      <w:r w:rsidRPr="00977458">
        <w:rPr>
          <w:rFonts w:cs="Arial"/>
          <w:sz w:val="20"/>
        </w:rPr>
        <w:t>, 2012 QCCS 4295</w:t>
      </w:r>
      <w:r>
        <w:rPr>
          <w:rFonts w:cs="Arial"/>
          <w:sz w:val="20"/>
        </w:rPr>
        <w:t xml:space="preserve"> et</w:t>
      </w:r>
      <w:r w:rsidRPr="00977458">
        <w:rPr>
          <w:rFonts w:cs="Arial"/>
          <w:sz w:val="20"/>
        </w:rPr>
        <w:t xml:space="preserve"> </w:t>
      </w:r>
      <w:r w:rsidRPr="00977458">
        <w:rPr>
          <w:rFonts w:cs="Arial"/>
          <w:i/>
          <w:sz w:val="20"/>
        </w:rPr>
        <w:t>Sierra Club du Canada</w:t>
      </w:r>
      <w:r w:rsidRPr="00977458">
        <w:rPr>
          <w:rFonts w:cs="Arial"/>
          <w:sz w:val="20"/>
        </w:rPr>
        <w:t xml:space="preserve"> c. </w:t>
      </w:r>
      <w:r w:rsidRPr="00977458">
        <w:rPr>
          <w:rFonts w:cs="Arial"/>
          <w:i/>
          <w:sz w:val="20"/>
        </w:rPr>
        <w:t>Canada (Ministre des Finances)</w:t>
      </w:r>
      <w:r w:rsidRPr="00977458">
        <w:rPr>
          <w:rFonts w:cs="Arial"/>
          <w:sz w:val="20"/>
        </w:rPr>
        <w:t>,</w:t>
      </w:r>
      <w:r w:rsidRPr="00E040B7">
        <w:t xml:space="preserve"> </w:t>
      </w:r>
      <w:r w:rsidRPr="00E040B7">
        <w:rPr>
          <w:rFonts w:cs="Arial"/>
          <w:sz w:val="20"/>
        </w:rPr>
        <w:t>[2002] 2 RCS 522</w:t>
      </w:r>
      <w:r>
        <w:rPr>
          <w:rFonts w:cs="Arial"/>
          <w:sz w:val="20"/>
        </w:rPr>
        <w:t>.</w:t>
      </w:r>
    </w:p>
  </w:footnote>
  <w:footnote w:id="37">
    <w:p w14:paraId="4AD70826" w14:textId="4E4ED110" w:rsidR="00DA493E" w:rsidRPr="00DA493E" w:rsidRDefault="00DA493E" w:rsidP="00DA493E">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003C13A8" w:rsidRPr="00977458">
        <w:rPr>
          <w:rFonts w:cs="Arial"/>
          <w:i/>
          <w:sz w:val="20"/>
        </w:rPr>
        <w:t>Sierra Club du Canada</w:t>
      </w:r>
      <w:r w:rsidR="003C13A8" w:rsidRPr="00977458">
        <w:rPr>
          <w:rFonts w:cs="Arial"/>
          <w:sz w:val="20"/>
        </w:rPr>
        <w:t xml:space="preserve"> c. </w:t>
      </w:r>
      <w:r w:rsidR="003C13A8" w:rsidRPr="00977458">
        <w:rPr>
          <w:rFonts w:cs="Arial"/>
          <w:i/>
          <w:sz w:val="20"/>
        </w:rPr>
        <w:t>Canada (Ministre des Finances</w:t>
      </w:r>
      <w:r w:rsidR="003C13A8">
        <w:rPr>
          <w:rFonts w:cs="Arial"/>
          <w:sz w:val="20"/>
        </w:rPr>
        <w:t xml:space="preserve">, précitée, note 36, </w:t>
      </w:r>
      <w:r w:rsidRPr="00DA493E">
        <w:rPr>
          <w:rFonts w:cs="Arial"/>
          <w:sz w:val="20"/>
        </w:rPr>
        <w:t>par. 55.</w:t>
      </w:r>
    </w:p>
  </w:footnote>
  <w:footnote w:id="38">
    <w:p w14:paraId="3660730C" w14:textId="20D50275" w:rsidR="00A03341" w:rsidRPr="00A03341" w:rsidRDefault="00A03341" w:rsidP="00A03341">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AE36B4">
        <w:rPr>
          <w:rFonts w:cs="Arial"/>
          <w:i/>
          <w:sz w:val="20"/>
        </w:rPr>
        <w:t>Id</w:t>
      </w:r>
      <w:r w:rsidR="00AE36B4">
        <w:rPr>
          <w:rFonts w:cs="Arial"/>
          <w:i/>
          <w:sz w:val="20"/>
        </w:rPr>
        <w:t>.</w:t>
      </w:r>
      <w:r>
        <w:rPr>
          <w:rFonts w:cs="Arial"/>
          <w:sz w:val="20"/>
        </w:rPr>
        <w:t>, par. 59.</w:t>
      </w:r>
    </w:p>
  </w:footnote>
  <w:footnote w:id="39">
    <w:p w14:paraId="2D2A53A6" w14:textId="48771A25" w:rsidR="00846AC7" w:rsidRPr="00BB6B25" w:rsidRDefault="00846AC7" w:rsidP="00C67BCA">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184E3E">
        <w:rPr>
          <w:rFonts w:cs="Arial"/>
          <w:i/>
          <w:sz w:val="20"/>
        </w:rPr>
        <w:t>Sierra Club</w:t>
      </w:r>
      <w:r w:rsidRPr="00BB6B25">
        <w:rPr>
          <w:rFonts w:cs="Arial"/>
          <w:sz w:val="20"/>
        </w:rPr>
        <w:t xml:space="preserve"> c. </w:t>
      </w:r>
      <w:r w:rsidRPr="00184E3E">
        <w:rPr>
          <w:rFonts w:cs="Arial"/>
          <w:i/>
          <w:sz w:val="20"/>
        </w:rPr>
        <w:t>Canada (Ministre des finances)</w:t>
      </w:r>
      <w:r w:rsidRPr="00BB6B25">
        <w:rPr>
          <w:rFonts w:cs="Arial"/>
          <w:sz w:val="20"/>
        </w:rPr>
        <w:t xml:space="preserve">, </w:t>
      </w:r>
      <w:r w:rsidRPr="00F0516A">
        <w:rPr>
          <w:rFonts w:cs="Arial"/>
          <w:sz w:val="20"/>
        </w:rPr>
        <w:t>précité</w:t>
      </w:r>
      <w:r>
        <w:rPr>
          <w:rFonts w:cs="Arial"/>
          <w:sz w:val="20"/>
        </w:rPr>
        <w:t xml:space="preserve">e, note </w:t>
      </w:r>
      <w:r w:rsidR="003C13A8">
        <w:rPr>
          <w:rFonts w:cs="Arial"/>
          <w:sz w:val="20"/>
        </w:rPr>
        <w:t>36</w:t>
      </w:r>
      <w:r>
        <w:rPr>
          <w:rFonts w:cs="Arial"/>
          <w:sz w:val="20"/>
        </w:rPr>
        <w:t xml:space="preserve"> et </w:t>
      </w:r>
      <w:r w:rsidRPr="00184E3E">
        <w:rPr>
          <w:rFonts w:cs="Arial"/>
          <w:i/>
          <w:sz w:val="20"/>
        </w:rPr>
        <w:t>Sherman (Succession)</w:t>
      </w:r>
      <w:r w:rsidRPr="00BB6B25">
        <w:rPr>
          <w:rFonts w:cs="Arial"/>
          <w:sz w:val="20"/>
        </w:rPr>
        <w:t xml:space="preserve"> c. </w:t>
      </w:r>
      <w:r w:rsidRPr="00184E3E">
        <w:rPr>
          <w:rFonts w:cs="Arial"/>
          <w:i/>
          <w:sz w:val="20"/>
        </w:rPr>
        <w:t>Donovan</w:t>
      </w:r>
      <w:r>
        <w:rPr>
          <w:rFonts w:cs="Arial"/>
          <w:sz w:val="20"/>
        </w:rPr>
        <w:t xml:space="preserve">, précitée, note </w:t>
      </w:r>
      <w:r w:rsidR="003C13A8">
        <w:rPr>
          <w:rFonts w:cs="Arial"/>
          <w:sz w:val="20"/>
        </w:rPr>
        <w:t>28</w:t>
      </w:r>
      <w:r w:rsidRPr="00BB6B25">
        <w:rPr>
          <w:rFonts w:cs="Arial"/>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846AC7" w14:paraId="553DB476" w14:textId="77777777" w:rsidTr="003A7263">
      <w:tc>
        <w:tcPr>
          <w:tcW w:w="8730" w:type="dxa"/>
        </w:tcPr>
        <w:p w14:paraId="2CA5DEEF" w14:textId="77777777" w:rsidR="00846AC7" w:rsidRDefault="00846AC7">
          <w:pPr>
            <w:pStyle w:val="En-tte"/>
            <w:ind w:left="-90"/>
          </w:pPr>
        </w:p>
      </w:tc>
      <w:tc>
        <w:tcPr>
          <w:tcW w:w="860" w:type="dxa"/>
        </w:tcPr>
        <w:p w14:paraId="72662F9E" w14:textId="77777777" w:rsidR="00846AC7" w:rsidRDefault="00846AC7">
          <w:pPr>
            <w:pStyle w:val="En-tte"/>
            <w:ind w:left="-90"/>
          </w:pPr>
        </w:p>
      </w:tc>
    </w:tr>
    <w:tr w:rsidR="00846AC7" w14:paraId="0DC3F7A7" w14:textId="77777777" w:rsidTr="003A7263">
      <w:tc>
        <w:tcPr>
          <w:tcW w:w="8730" w:type="dxa"/>
        </w:tcPr>
        <w:p w14:paraId="3B40FAA5" w14:textId="77777777" w:rsidR="00846AC7" w:rsidRDefault="00846AC7" w:rsidP="003A7263">
          <w:pPr>
            <w:pStyle w:val="zSoquijdatNoDossier"/>
          </w:pPr>
          <w:r>
            <w:t>1280281-71-</w:t>
          </w:r>
          <w:r w:rsidRPr="003A7263">
            <w:t>2206</w:t>
          </w:r>
        </w:p>
      </w:tc>
      <w:tc>
        <w:tcPr>
          <w:tcW w:w="860" w:type="dxa"/>
        </w:tcPr>
        <w:p w14:paraId="46DC555F" w14:textId="77777777" w:rsidR="00846AC7" w:rsidRDefault="00846AC7" w:rsidP="003A7263">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F36BF7">
            <w:rPr>
              <w:rStyle w:val="Numrodepage"/>
              <w:noProof/>
            </w:rPr>
            <w:t>12</w:t>
          </w:r>
          <w:r>
            <w:rPr>
              <w:rStyle w:val="Numrodepage"/>
            </w:rPr>
            <w:fldChar w:fldCharType="end"/>
          </w:r>
        </w:p>
      </w:tc>
    </w:tr>
    <w:tr w:rsidR="00846AC7" w14:paraId="589EA12B" w14:textId="77777777" w:rsidTr="003A7263">
      <w:tc>
        <w:tcPr>
          <w:tcW w:w="8730" w:type="dxa"/>
        </w:tcPr>
        <w:p w14:paraId="320088DA" w14:textId="77777777" w:rsidR="00846AC7" w:rsidRDefault="00846AC7" w:rsidP="003A7263"/>
      </w:tc>
      <w:tc>
        <w:tcPr>
          <w:tcW w:w="860" w:type="dxa"/>
        </w:tcPr>
        <w:p w14:paraId="598EDC19" w14:textId="77777777" w:rsidR="00846AC7" w:rsidRDefault="00846AC7" w:rsidP="003A7263">
          <w:pPr>
            <w:pStyle w:val="En-tte"/>
            <w:ind w:left="-90"/>
            <w:jc w:val="right"/>
          </w:pPr>
        </w:p>
      </w:tc>
    </w:tr>
  </w:tbl>
  <w:p w14:paraId="5899D2A6" w14:textId="77777777" w:rsidR="00846AC7" w:rsidRDefault="00846AC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B7D12"/>
    <w:multiLevelType w:val="hybridMultilevel"/>
    <w:tmpl w:val="C9A0B94E"/>
    <w:lvl w:ilvl="0" w:tplc="CB82D61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2F2256D3"/>
    <w:multiLevelType w:val="hybridMultilevel"/>
    <w:tmpl w:val="9FA61148"/>
    <w:lvl w:ilvl="0" w:tplc="CB82D612">
      <w:start w:val="1"/>
      <w:numFmt w:val="bullet"/>
      <w:lvlText w:val=""/>
      <w:lvlJc w:val="left"/>
      <w:pPr>
        <w:ind w:left="360" w:hanging="360"/>
      </w:pPr>
      <w:rPr>
        <w:rFonts w:ascii="Symbol" w:hAnsi="Symbol" w:hint="default"/>
      </w:rPr>
    </w:lvl>
    <w:lvl w:ilvl="1" w:tplc="CB82D612">
      <w:start w:val="1"/>
      <w:numFmt w:val="bullet"/>
      <w:lvlText w:val=""/>
      <w:lvlJc w:val="left"/>
      <w:pPr>
        <w:ind w:left="108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31CE60E0"/>
    <w:multiLevelType w:val="singleLevel"/>
    <w:tmpl w:val="0C0C000F"/>
    <w:lvl w:ilvl="0">
      <w:start w:val="1"/>
      <w:numFmt w:val="decimal"/>
      <w:lvlText w:val="%1."/>
      <w:lvlJc w:val="left"/>
      <w:pPr>
        <w:tabs>
          <w:tab w:val="num" w:pos="360"/>
        </w:tabs>
        <w:ind w:left="360" w:hanging="360"/>
      </w:pPr>
    </w:lvl>
  </w:abstractNum>
  <w:abstractNum w:abstractNumId="4">
    <w:nsid w:val="4B3C782B"/>
    <w:multiLevelType w:val="hybridMultilevel"/>
    <w:tmpl w:val="CB24DB44"/>
    <w:lvl w:ilvl="0" w:tplc="CB82D612">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67725F67"/>
    <w:multiLevelType w:val="hybridMultilevel"/>
    <w:tmpl w:val="98B28608"/>
    <w:lvl w:ilvl="0" w:tplc="CB82D61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2348AF"/>
    <w:multiLevelType w:val="hybridMultilevel"/>
    <w:tmpl w:val="54C694A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1">
    <w:nsid w:val="76556088"/>
    <w:multiLevelType w:val="multilevel"/>
    <w:tmpl w:val="123A8296"/>
    <w:lvl w:ilvl="0">
      <w:start w:val="1"/>
      <w:numFmt w:val="decimal"/>
      <w:pStyle w:val="corpsdedcision"/>
      <w:lvlText w:val="[%1]"/>
      <w:lvlJc w:val="left"/>
      <w:pPr>
        <w:tabs>
          <w:tab w:val="num" w:pos="360"/>
        </w:tabs>
        <w:ind w:left="0" w:firstLine="0"/>
      </w:pPr>
    </w:lvl>
    <w:lvl w:ilvl="1">
      <w:start w:val="1"/>
      <w:numFmt w:val="bullet"/>
      <w:lvlText w:val=""/>
      <w:lvlJc w:val="left"/>
      <w:pPr>
        <w:tabs>
          <w:tab w:val="num" w:pos="1080"/>
        </w:tabs>
        <w:ind w:left="360" w:firstLine="0"/>
      </w:pPr>
      <w:rPr>
        <w:rFonts w:ascii="Symbol" w:hAnsi="Symbol" w:hint="default"/>
      </w:r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12">
    <w:nsid w:val="776C3A2B"/>
    <w:multiLevelType w:val="hybridMultilevel"/>
    <w:tmpl w:val="2938C0B8"/>
    <w:lvl w:ilvl="0" w:tplc="CB82D612">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nsid w:val="780656A2"/>
    <w:multiLevelType w:val="hybridMultilevel"/>
    <w:tmpl w:val="E2A4516E"/>
    <w:lvl w:ilvl="0" w:tplc="6712996A">
      <w:start w:val="1"/>
      <w:numFmt w:val="decimal"/>
      <w:lvlText w:val="%1)"/>
      <w:lvlJc w:val="left"/>
      <w:pPr>
        <w:ind w:left="2356" w:hanging="360"/>
      </w:pPr>
      <w:rPr>
        <w:rFonts w:hint="default"/>
      </w:rPr>
    </w:lvl>
    <w:lvl w:ilvl="1" w:tplc="0C0C0019" w:tentative="1">
      <w:start w:val="1"/>
      <w:numFmt w:val="lowerLetter"/>
      <w:lvlText w:val="%2."/>
      <w:lvlJc w:val="left"/>
      <w:pPr>
        <w:ind w:left="3076" w:hanging="360"/>
      </w:pPr>
    </w:lvl>
    <w:lvl w:ilvl="2" w:tplc="0C0C001B" w:tentative="1">
      <w:start w:val="1"/>
      <w:numFmt w:val="lowerRoman"/>
      <w:lvlText w:val="%3."/>
      <w:lvlJc w:val="right"/>
      <w:pPr>
        <w:ind w:left="3796" w:hanging="180"/>
      </w:pPr>
    </w:lvl>
    <w:lvl w:ilvl="3" w:tplc="0C0C000F" w:tentative="1">
      <w:start w:val="1"/>
      <w:numFmt w:val="decimal"/>
      <w:lvlText w:val="%4."/>
      <w:lvlJc w:val="left"/>
      <w:pPr>
        <w:ind w:left="4516" w:hanging="360"/>
      </w:pPr>
    </w:lvl>
    <w:lvl w:ilvl="4" w:tplc="0C0C0019" w:tentative="1">
      <w:start w:val="1"/>
      <w:numFmt w:val="lowerLetter"/>
      <w:lvlText w:val="%5."/>
      <w:lvlJc w:val="left"/>
      <w:pPr>
        <w:ind w:left="5236" w:hanging="360"/>
      </w:pPr>
    </w:lvl>
    <w:lvl w:ilvl="5" w:tplc="0C0C001B" w:tentative="1">
      <w:start w:val="1"/>
      <w:numFmt w:val="lowerRoman"/>
      <w:lvlText w:val="%6."/>
      <w:lvlJc w:val="right"/>
      <w:pPr>
        <w:ind w:left="5956" w:hanging="180"/>
      </w:pPr>
    </w:lvl>
    <w:lvl w:ilvl="6" w:tplc="0C0C000F" w:tentative="1">
      <w:start w:val="1"/>
      <w:numFmt w:val="decimal"/>
      <w:lvlText w:val="%7."/>
      <w:lvlJc w:val="left"/>
      <w:pPr>
        <w:ind w:left="6676" w:hanging="360"/>
      </w:pPr>
    </w:lvl>
    <w:lvl w:ilvl="7" w:tplc="0C0C0019" w:tentative="1">
      <w:start w:val="1"/>
      <w:numFmt w:val="lowerLetter"/>
      <w:lvlText w:val="%8."/>
      <w:lvlJc w:val="left"/>
      <w:pPr>
        <w:ind w:left="7396" w:hanging="360"/>
      </w:pPr>
    </w:lvl>
    <w:lvl w:ilvl="8" w:tplc="0C0C001B" w:tentative="1">
      <w:start w:val="1"/>
      <w:numFmt w:val="lowerRoman"/>
      <w:lvlText w:val="%9."/>
      <w:lvlJc w:val="right"/>
      <w:pPr>
        <w:ind w:left="8116" w:hanging="180"/>
      </w:pPr>
    </w:lvl>
  </w:abstractNum>
  <w:abstractNum w:abstractNumId="14">
    <w:nsid w:val="78D6079A"/>
    <w:multiLevelType w:val="hybridMultilevel"/>
    <w:tmpl w:val="80AE0E1E"/>
    <w:lvl w:ilvl="0" w:tplc="22AEE0D8">
      <w:start w:val="1"/>
      <w:numFmt w:val="lowerLetter"/>
      <w:lvlText w:val="%1."/>
      <w:lvlJc w:val="left"/>
      <w:pPr>
        <w:ind w:left="1210" w:hanging="360"/>
      </w:pPr>
      <w:rPr>
        <w:rFonts w:hint="default"/>
      </w:rPr>
    </w:lvl>
    <w:lvl w:ilvl="1" w:tplc="0C0C0019" w:tentative="1">
      <w:start w:val="1"/>
      <w:numFmt w:val="lowerLetter"/>
      <w:lvlText w:val="%2."/>
      <w:lvlJc w:val="left"/>
      <w:pPr>
        <w:ind w:left="1930" w:hanging="360"/>
      </w:pPr>
    </w:lvl>
    <w:lvl w:ilvl="2" w:tplc="0C0C001B" w:tentative="1">
      <w:start w:val="1"/>
      <w:numFmt w:val="lowerRoman"/>
      <w:lvlText w:val="%3."/>
      <w:lvlJc w:val="right"/>
      <w:pPr>
        <w:ind w:left="2650" w:hanging="180"/>
      </w:pPr>
    </w:lvl>
    <w:lvl w:ilvl="3" w:tplc="0C0C000F" w:tentative="1">
      <w:start w:val="1"/>
      <w:numFmt w:val="decimal"/>
      <w:lvlText w:val="%4."/>
      <w:lvlJc w:val="left"/>
      <w:pPr>
        <w:ind w:left="3370" w:hanging="360"/>
      </w:pPr>
    </w:lvl>
    <w:lvl w:ilvl="4" w:tplc="0C0C0019" w:tentative="1">
      <w:start w:val="1"/>
      <w:numFmt w:val="lowerLetter"/>
      <w:lvlText w:val="%5."/>
      <w:lvlJc w:val="left"/>
      <w:pPr>
        <w:ind w:left="4090" w:hanging="360"/>
      </w:pPr>
    </w:lvl>
    <w:lvl w:ilvl="5" w:tplc="0C0C001B" w:tentative="1">
      <w:start w:val="1"/>
      <w:numFmt w:val="lowerRoman"/>
      <w:lvlText w:val="%6."/>
      <w:lvlJc w:val="right"/>
      <w:pPr>
        <w:ind w:left="4810" w:hanging="180"/>
      </w:pPr>
    </w:lvl>
    <w:lvl w:ilvl="6" w:tplc="0C0C000F" w:tentative="1">
      <w:start w:val="1"/>
      <w:numFmt w:val="decimal"/>
      <w:lvlText w:val="%7."/>
      <w:lvlJc w:val="left"/>
      <w:pPr>
        <w:ind w:left="5530" w:hanging="360"/>
      </w:pPr>
    </w:lvl>
    <w:lvl w:ilvl="7" w:tplc="0C0C0019" w:tentative="1">
      <w:start w:val="1"/>
      <w:numFmt w:val="lowerLetter"/>
      <w:lvlText w:val="%8."/>
      <w:lvlJc w:val="left"/>
      <w:pPr>
        <w:ind w:left="6250" w:hanging="360"/>
      </w:pPr>
    </w:lvl>
    <w:lvl w:ilvl="8" w:tplc="0C0C001B" w:tentative="1">
      <w:start w:val="1"/>
      <w:numFmt w:val="lowerRoman"/>
      <w:lvlText w:val="%9."/>
      <w:lvlJc w:val="right"/>
      <w:pPr>
        <w:ind w:left="6970" w:hanging="180"/>
      </w:pPr>
    </w:lvl>
  </w:abstractNum>
  <w:abstractNum w:abstractNumId="15">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1"/>
  </w:num>
  <w:num w:numId="2">
    <w:abstractNumId w:val="10"/>
  </w:num>
  <w:num w:numId="3">
    <w:abstractNumId w:val="9"/>
  </w:num>
  <w:num w:numId="4">
    <w:abstractNumId w:val="7"/>
  </w:num>
  <w:num w:numId="5">
    <w:abstractNumId w:val="15"/>
  </w:num>
  <w:num w:numId="6">
    <w:abstractNumId w:val="15"/>
  </w:num>
  <w:num w:numId="7">
    <w:abstractNumId w:val="1"/>
  </w:num>
  <w:num w:numId="8">
    <w:abstractNumId w:val="6"/>
  </w:num>
  <w:num w:numId="9">
    <w:abstractNumId w:val="3"/>
  </w:num>
  <w:num w:numId="10">
    <w:abstractNumId w:val="14"/>
  </w:num>
  <w:num w:numId="11">
    <w:abstractNumId w:val="8"/>
  </w:num>
  <w:num w:numId="12">
    <w:abstractNumId w:val="1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63"/>
    <w:rsid w:val="000034B0"/>
    <w:rsid w:val="000041A1"/>
    <w:rsid w:val="00006DD2"/>
    <w:rsid w:val="00007B52"/>
    <w:rsid w:val="0001305E"/>
    <w:rsid w:val="000147C4"/>
    <w:rsid w:val="00016D99"/>
    <w:rsid w:val="00021B30"/>
    <w:rsid w:val="00021E4C"/>
    <w:rsid w:val="00022556"/>
    <w:rsid w:val="00023858"/>
    <w:rsid w:val="000352CA"/>
    <w:rsid w:val="000366EC"/>
    <w:rsid w:val="00036794"/>
    <w:rsid w:val="00043E4D"/>
    <w:rsid w:val="00045B9F"/>
    <w:rsid w:val="000466ED"/>
    <w:rsid w:val="000536CC"/>
    <w:rsid w:val="000559A8"/>
    <w:rsid w:val="00055A3E"/>
    <w:rsid w:val="00056393"/>
    <w:rsid w:val="00057739"/>
    <w:rsid w:val="000658A3"/>
    <w:rsid w:val="0007225E"/>
    <w:rsid w:val="00074ABE"/>
    <w:rsid w:val="00074EAE"/>
    <w:rsid w:val="00076D81"/>
    <w:rsid w:val="00080885"/>
    <w:rsid w:val="00082A97"/>
    <w:rsid w:val="0008378A"/>
    <w:rsid w:val="00083F51"/>
    <w:rsid w:val="0008640E"/>
    <w:rsid w:val="0008784D"/>
    <w:rsid w:val="00090018"/>
    <w:rsid w:val="00090306"/>
    <w:rsid w:val="00090F69"/>
    <w:rsid w:val="00093ACD"/>
    <w:rsid w:val="00095814"/>
    <w:rsid w:val="00097D81"/>
    <w:rsid w:val="00097FCE"/>
    <w:rsid w:val="000A1DAC"/>
    <w:rsid w:val="000A2AA9"/>
    <w:rsid w:val="000A2E84"/>
    <w:rsid w:val="000A4AD0"/>
    <w:rsid w:val="000A5AD1"/>
    <w:rsid w:val="000A62D9"/>
    <w:rsid w:val="000A63DF"/>
    <w:rsid w:val="000A77C5"/>
    <w:rsid w:val="000A7C1E"/>
    <w:rsid w:val="000B042B"/>
    <w:rsid w:val="000B6275"/>
    <w:rsid w:val="000B7F1B"/>
    <w:rsid w:val="000C6EB2"/>
    <w:rsid w:val="000C710F"/>
    <w:rsid w:val="000D37FF"/>
    <w:rsid w:val="000D3948"/>
    <w:rsid w:val="000D4F66"/>
    <w:rsid w:val="000E0C28"/>
    <w:rsid w:val="000E0C3A"/>
    <w:rsid w:val="000E1320"/>
    <w:rsid w:val="000E3FF6"/>
    <w:rsid w:val="000E56A6"/>
    <w:rsid w:val="000F20A5"/>
    <w:rsid w:val="000F3423"/>
    <w:rsid w:val="000F5F81"/>
    <w:rsid w:val="00100AB8"/>
    <w:rsid w:val="0010282F"/>
    <w:rsid w:val="00104550"/>
    <w:rsid w:val="00104C3D"/>
    <w:rsid w:val="001050B4"/>
    <w:rsid w:val="00105E55"/>
    <w:rsid w:val="001144AB"/>
    <w:rsid w:val="0012224D"/>
    <w:rsid w:val="001225BC"/>
    <w:rsid w:val="00122A9E"/>
    <w:rsid w:val="00122F94"/>
    <w:rsid w:val="0012326A"/>
    <w:rsid w:val="00123BA8"/>
    <w:rsid w:val="001325D8"/>
    <w:rsid w:val="00132622"/>
    <w:rsid w:val="001362D7"/>
    <w:rsid w:val="00137E7E"/>
    <w:rsid w:val="001407FC"/>
    <w:rsid w:val="00141FE9"/>
    <w:rsid w:val="00144572"/>
    <w:rsid w:val="00146116"/>
    <w:rsid w:val="00147A49"/>
    <w:rsid w:val="00147B8B"/>
    <w:rsid w:val="0015125A"/>
    <w:rsid w:val="00152464"/>
    <w:rsid w:val="0015539F"/>
    <w:rsid w:val="00160597"/>
    <w:rsid w:val="00160AF0"/>
    <w:rsid w:val="00162ECC"/>
    <w:rsid w:val="001647E5"/>
    <w:rsid w:val="00164C4B"/>
    <w:rsid w:val="001664C8"/>
    <w:rsid w:val="00167AD0"/>
    <w:rsid w:val="00167DEF"/>
    <w:rsid w:val="00167E9D"/>
    <w:rsid w:val="0017000F"/>
    <w:rsid w:val="001725A2"/>
    <w:rsid w:val="00173184"/>
    <w:rsid w:val="00173ED6"/>
    <w:rsid w:val="00175079"/>
    <w:rsid w:val="001755FF"/>
    <w:rsid w:val="00175A55"/>
    <w:rsid w:val="001761B9"/>
    <w:rsid w:val="00177401"/>
    <w:rsid w:val="001817BF"/>
    <w:rsid w:val="00183515"/>
    <w:rsid w:val="00183615"/>
    <w:rsid w:val="001846FC"/>
    <w:rsid w:val="00185C5D"/>
    <w:rsid w:val="00187D1B"/>
    <w:rsid w:val="00192360"/>
    <w:rsid w:val="001924FE"/>
    <w:rsid w:val="001965E1"/>
    <w:rsid w:val="001A03BE"/>
    <w:rsid w:val="001A067E"/>
    <w:rsid w:val="001A2900"/>
    <w:rsid w:val="001A4081"/>
    <w:rsid w:val="001A65F1"/>
    <w:rsid w:val="001B05D3"/>
    <w:rsid w:val="001B2B40"/>
    <w:rsid w:val="001B3E9D"/>
    <w:rsid w:val="001B4A40"/>
    <w:rsid w:val="001B5524"/>
    <w:rsid w:val="001B6D8A"/>
    <w:rsid w:val="001C19D4"/>
    <w:rsid w:val="001C2B0B"/>
    <w:rsid w:val="001C3CAB"/>
    <w:rsid w:val="001C3CFE"/>
    <w:rsid w:val="001C436D"/>
    <w:rsid w:val="001D63C8"/>
    <w:rsid w:val="001D65D8"/>
    <w:rsid w:val="001E3DFD"/>
    <w:rsid w:val="001E42F0"/>
    <w:rsid w:val="001E497A"/>
    <w:rsid w:val="001E5E3B"/>
    <w:rsid w:val="001E7333"/>
    <w:rsid w:val="00206331"/>
    <w:rsid w:val="00206FB3"/>
    <w:rsid w:val="00211A73"/>
    <w:rsid w:val="00215771"/>
    <w:rsid w:val="002159B0"/>
    <w:rsid w:val="0022255B"/>
    <w:rsid w:val="00225C46"/>
    <w:rsid w:val="00226493"/>
    <w:rsid w:val="00227040"/>
    <w:rsid w:val="00230CFC"/>
    <w:rsid w:val="0023162A"/>
    <w:rsid w:val="00231C1D"/>
    <w:rsid w:val="00232CFD"/>
    <w:rsid w:val="00233532"/>
    <w:rsid w:val="00234BC8"/>
    <w:rsid w:val="00236958"/>
    <w:rsid w:val="00241CED"/>
    <w:rsid w:val="00242FB4"/>
    <w:rsid w:val="00243216"/>
    <w:rsid w:val="00245605"/>
    <w:rsid w:val="00247AEB"/>
    <w:rsid w:val="002542E0"/>
    <w:rsid w:val="002563F0"/>
    <w:rsid w:val="00256DBB"/>
    <w:rsid w:val="00260119"/>
    <w:rsid w:val="0026439F"/>
    <w:rsid w:val="00266064"/>
    <w:rsid w:val="00267C8D"/>
    <w:rsid w:val="002701DD"/>
    <w:rsid w:val="002710FD"/>
    <w:rsid w:val="00273F49"/>
    <w:rsid w:val="002769B5"/>
    <w:rsid w:val="00276B25"/>
    <w:rsid w:val="00276B59"/>
    <w:rsid w:val="00281319"/>
    <w:rsid w:val="0028575E"/>
    <w:rsid w:val="00286149"/>
    <w:rsid w:val="0028668D"/>
    <w:rsid w:val="00290289"/>
    <w:rsid w:val="00292188"/>
    <w:rsid w:val="002923D9"/>
    <w:rsid w:val="00296050"/>
    <w:rsid w:val="00296645"/>
    <w:rsid w:val="00296A4B"/>
    <w:rsid w:val="00297284"/>
    <w:rsid w:val="002A0077"/>
    <w:rsid w:val="002A07DC"/>
    <w:rsid w:val="002A2072"/>
    <w:rsid w:val="002A2E12"/>
    <w:rsid w:val="002A3573"/>
    <w:rsid w:val="002A361C"/>
    <w:rsid w:val="002A374B"/>
    <w:rsid w:val="002A73E9"/>
    <w:rsid w:val="002B132B"/>
    <w:rsid w:val="002B2FC3"/>
    <w:rsid w:val="002B35F0"/>
    <w:rsid w:val="002B58AF"/>
    <w:rsid w:val="002C12D7"/>
    <w:rsid w:val="002C34DD"/>
    <w:rsid w:val="002C3748"/>
    <w:rsid w:val="002C5E89"/>
    <w:rsid w:val="002C6122"/>
    <w:rsid w:val="002C74FB"/>
    <w:rsid w:val="002D42BC"/>
    <w:rsid w:val="002D4F4B"/>
    <w:rsid w:val="002D71A9"/>
    <w:rsid w:val="002D7846"/>
    <w:rsid w:val="002D7FCB"/>
    <w:rsid w:val="002E05AE"/>
    <w:rsid w:val="002F2140"/>
    <w:rsid w:val="002F7507"/>
    <w:rsid w:val="0030059B"/>
    <w:rsid w:val="00302FB4"/>
    <w:rsid w:val="003037EA"/>
    <w:rsid w:val="00305273"/>
    <w:rsid w:val="003057FC"/>
    <w:rsid w:val="00305AFB"/>
    <w:rsid w:val="00307B2B"/>
    <w:rsid w:val="00307C85"/>
    <w:rsid w:val="00312983"/>
    <w:rsid w:val="0032138E"/>
    <w:rsid w:val="00323DC5"/>
    <w:rsid w:val="003248CB"/>
    <w:rsid w:val="00331EA7"/>
    <w:rsid w:val="003332B8"/>
    <w:rsid w:val="0033548B"/>
    <w:rsid w:val="00337555"/>
    <w:rsid w:val="0034208F"/>
    <w:rsid w:val="00343B46"/>
    <w:rsid w:val="00344465"/>
    <w:rsid w:val="0034740A"/>
    <w:rsid w:val="0035375B"/>
    <w:rsid w:val="00355E82"/>
    <w:rsid w:val="00362D74"/>
    <w:rsid w:val="003664E9"/>
    <w:rsid w:val="00366D1E"/>
    <w:rsid w:val="003703A5"/>
    <w:rsid w:val="0037112C"/>
    <w:rsid w:val="00373EE5"/>
    <w:rsid w:val="00375ED1"/>
    <w:rsid w:val="003817E7"/>
    <w:rsid w:val="00382E55"/>
    <w:rsid w:val="00385D02"/>
    <w:rsid w:val="00387965"/>
    <w:rsid w:val="003900BA"/>
    <w:rsid w:val="00390B55"/>
    <w:rsid w:val="003961B2"/>
    <w:rsid w:val="003A41AD"/>
    <w:rsid w:val="003A4BCF"/>
    <w:rsid w:val="003A7263"/>
    <w:rsid w:val="003B0C41"/>
    <w:rsid w:val="003B152B"/>
    <w:rsid w:val="003B1734"/>
    <w:rsid w:val="003B1735"/>
    <w:rsid w:val="003B2D2E"/>
    <w:rsid w:val="003B6CBF"/>
    <w:rsid w:val="003C13A8"/>
    <w:rsid w:val="003C47A7"/>
    <w:rsid w:val="003D0145"/>
    <w:rsid w:val="003D0826"/>
    <w:rsid w:val="003D18FC"/>
    <w:rsid w:val="003D25CC"/>
    <w:rsid w:val="003D3C93"/>
    <w:rsid w:val="003D5A94"/>
    <w:rsid w:val="003D71BB"/>
    <w:rsid w:val="003E00D5"/>
    <w:rsid w:val="003E02BA"/>
    <w:rsid w:val="003E2203"/>
    <w:rsid w:val="003F0578"/>
    <w:rsid w:val="003F6F03"/>
    <w:rsid w:val="003F7F38"/>
    <w:rsid w:val="00401325"/>
    <w:rsid w:val="004019AA"/>
    <w:rsid w:val="0040399B"/>
    <w:rsid w:val="00406A17"/>
    <w:rsid w:val="00406F0C"/>
    <w:rsid w:val="004071BB"/>
    <w:rsid w:val="004106DB"/>
    <w:rsid w:val="00410A9A"/>
    <w:rsid w:val="00411251"/>
    <w:rsid w:val="00412585"/>
    <w:rsid w:val="0041363B"/>
    <w:rsid w:val="00414FA8"/>
    <w:rsid w:val="00415D5D"/>
    <w:rsid w:val="0041643A"/>
    <w:rsid w:val="004232E9"/>
    <w:rsid w:val="0042650F"/>
    <w:rsid w:val="0042684F"/>
    <w:rsid w:val="00427D5D"/>
    <w:rsid w:val="00431E0B"/>
    <w:rsid w:val="004337FE"/>
    <w:rsid w:val="00433E98"/>
    <w:rsid w:val="00435738"/>
    <w:rsid w:val="00437137"/>
    <w:rsid w:val="004403B8"/>
    <w:rsid w:val="00441117"/>
    <w:rsid w:val="00441ADA"/>
    <w:rsid w:val="004422CA"/>
    <w:rsid w:val="0044274C"/>
    <w:rsid w:val="0044371C"/>
    <w:rsid w:val="0044627E"/>
    <w:rsid w:val="00450064"/>
    <w:rsid w:val="0045114F"/>
    <w:rsid w:val="004529D3"/>
    <w:rsid w:val="00453F31"/>
    <w:rsid w:val="00455FA3"/>
    <w:rsid w:val="00456B0C"/>
    <w:rsid w:val="00457378"/>
    <w:rsid w:val="00460101"/>
    <w:rsid w:val="004648FE"/>
    <w:rsid w:val="0046538B"/>
    <w:rsid w:val="00471C92"/>
    <w:rsid w:val="004739AC"/>
    <w:rsid w:val="00474489"/>
    <w:rsid w:val="00475FEF"/>
    <w:rsid w:val="0047680F"/>
    <w:rsid w:val="00477536"/>
    <w:rsid w:val="0047776F"/>
    <w:rsid w:val="00482D5B"/>
    <w:rsid w:val="004832E2"/>
    <w:rsid w:val="004852C8"/>
    <w:rsid w:val="004870EA"/>
    <w:rsid w:val="004873EC"/>
    <w:rsid w:val="00487F13"/>
    <w:rsid w:val="0049595F"/>
    <w:rsid w:val="00496193"/>
    <w:rsid w:val="004A02AF"/>
    <w:rsid w:val="004A05DD"/>
    <w:rsid w:val="004A2D66"/>
    <w:rsid w:val="004A4449"/>
    <w:rsid w:val="004A679B"/>
    <w:rsid w:val="004C0FB4"/>
    <w:rsid w:val="004C1204"/>
    <w:rsid w:val="004C1811"/>
    <w:rsid w:val="004C2944"/>
    <w:rsid w:val="004C4555"/>
    <w:rsid w:val="004D16D6"/>
    <w:rsid w:val="004D6CEA"/>
    <w:rsid w:val="004E0E02"/>
    <w:rsid w:val="004E3564"/>
    <w:rsid w:val="004E3D9F"/>
    <w:rsid w:val="004E51C0"/>
    <w:rsid w:val="004E64BE"/>
    <w:rsid w:val="004E7A18"/>
    <w:rsid w:val="004F6293"/>
    <w:rsid w:val="00501059"/>
    <w:rsid w:val="00503B8D"/>
    <w:rsid w:val="00503EE3"/>
    <w:rsid w:val="00505811"/>
    <w:rsid w:val="0051261C"/>
    <w:rsid w:val="005128F4"/>
    <w:rsid w:val="005153DB"/>
    <w:rsid w:val="00515DE7"/>
    <w:rsid w:val="00517EB0"/>
    <w:rsid w:val="005205CB"/>
    <w:rsid w:val="0052430C"/>
    <w:rsid w:val="0053354B"/>
    <w:rsid w:val="005348E4"/>
    <w:rsid w:val="00534D8F"/>
    <w:rsid w:val="005352F1"/>
    <w:rsid w:val="00540094"/>
    <w:rsid w:val="00541655"/>
    <w:rsid w:val="00545CFF"/>
    <w:rsid w:val="00547A9C"/>
    <w:rsid w:val="00555800"/>
    <w:rsid w:val="00556DBB"/>
    <w:rsid w:val="00560781"/>
    <w:rsid w:val="0056268F"/>
    <w:rsid w:val="005662E9"/>
    <w:rsid w:val="005700F8"/>
    <w:rsid w:val="00572AAF"/>
    <w:rsid w:val="005801AE"/>
    <w:rsid w:val="00580D80"/>
    <w:rsid w:val="00582868"/>
    <w:rsid w:val="00582ECC"/>
    <w:rsid w:val="0058399B"/>
    <w:rsid w:val="0058692F"/>
    <w:rsid w:val="00587045"/>
    <w:rsid w:val="00587C22"/>
    <w:rsid w:val="005907BE"/>
    <w:rsid w:val="00590950"/>
    <w:rsid w:val="0059436D"/>
    <w:rsid w:val="005945C0"/>
    <w:rsid w:val="00596AB2"/>
    <w:rsid w:val="00597016"/>
    <w:rsid w:val="005974B7"/>
    <w:rsid w:val="005A0BB0"/>
    <w:rsid w:val="005A0D51"/>
    <w:rsid w:val="005A181B"/>
    <w:rsid w:val="005A1CB3"/>
    <w:rsid w:val="005A3073"/>
    <w:rsid w:val="005A33A5"/>
    <w:rsid w:val="005A37D7"/>
    <w:rsid w:val="005A5437"/>
    <w:rsid w:val="005A6969"/>
    <w:rsid w:val="005A70A0"/>
    <w:rsid w:val="005B0612"/>
    <w:rsid w:val="005B13F0"/>
    <w:rsid w:val="005B2E0C"/>
    <w:rsid w:val="005B30F6"/>
    <w:rsid w:val="005B45BA"/>
    <w:rsid w:val="005B5689"/>
    <w:rsid w:val="005B6680"/>
    <w:rsid w:val="005B6774"/>
    <w:rsid w:val="005B75A5"/>
    <w:rsid w:val="005C0A89"/>
    <w:rsid w:val="005C3BC4"/>
    <w:rsid w:val="005D26CC"/>
    <w:rsid w:val="005D4711"/>
    <w:rsid w:val="005D59B1"/>
    <w:rsid w:val="005D764B"/>
    <w:rsid w:val="005E2367"/>
    <w:rsid w:val="005E34D2"/>
    <w:rsid w:val="005E5E90"/>
    <w:rsid w:val="005E654C"/>
    <w:rsid w:val="005F05F6"/>
    <w:rsid w:val="005F0D07"/>
    <w:rsid w:val="005F4E64"/>
    <w:rsid w:val="00605734"/>
    <w:rsid w:val="00607D4E"/>
    <w:rsid w:val="006137C6"/>
    <w:rsid w:val="0061488E"/>
    <w:rsid w:val="0061574B"/>
    <w:rsid w:val="00616406"/>
    <w:rsid w:val="00622670"/>
    <w:rsid w:val="00623328"/>
    <w:rsid w:val="00623A1A"/>
    <w:rsid w:val="00626E8D"/>
    <w:rsid w:val="00630143"/>
    <w:rsid w:val="0063156B"/>
    <w:rsid w:val="006326A9"/>
    <w:rsid w:val="00632DA8"/>
    <w:rsid w:val="00634C4B"/>
    <w:rsid w:val="00634E6E"/>
    <w:rsid w:val="0063651F"/>
    <w:rsid w:val="0064342A"/>
    <w:rsid w:val="00643A28"/>
    <w:rsid w:val="006452FA"/>
    <w:rsid w:val="0065093D"/>
    <w:rsid w:val="00652A16"/>
    <w:rsid w:val="00655193"/>
    <w:rsid w:val="00655459"/>
    <w:rsid w:val="00656FB2"/>
    <w:rsid w:val="00657A70"/>
    <w:rsid w:val="00661454"/>
    <w:rsid w:val="006620AA"/>
    <w:rsid w:val="006626AF"/>
    <w:rsid w:val="0066642D"/>
    <w:rsid w:val="006722E2"/>
    <w:rsid w:val="006758F5"/>
    <w:rsid w:val="00675E85"/>
    <w:rsid w:val="0067750F"/>
    <w:rsid w:val="00681396"/>
    <w:rsid w:val="0068171F"/>
    <w:rsid w:val="0068401E"/>
    <w:rsid w:val="006841A4"/>
    <w:rsid w:val="0068643F"/>
    <w:rsid w:val="006877A1"/>
    <w:rsid w:val="00692150"/>
    <w:rsid w:val="00692F0C"/>
    <w:rsid w:val="006944B0"/>
    <w:rsid w:val="00696E7C"/>
    <w:rsid w:val="00696EF2"/>
    <w:rsid w:val="006A0C54"/>
    <w:rsid w:val="006A3E54"/>
    <w:rsid w:val="006A7C53"/>
    <w:rsid w:val="006B140A"/>
    <w:rsid w:val="006B309C"/>
    <w:rsid w:val="006B4316"/>
    <w:rsid w:val="006B727F"/>
    <w:rsid w:val="006C1B57"/>
    <w:rsid w:val="006C6D3A"/>
    <w:rsid w:val="006C7B36"/>
    <w:rsid w:val="006C7B7F"/>
    <w:rsid w:val="006D0CB3"/>
    <w:rsid w:val="006D19E8"/>
    <w:rsid w:val="006D2930"/>
    <w:rsid w:val="006D7768"/>
    <w:rsid w:val="006E04B5"/>
    <w:rsid w:val="006E1F13"/>
    <w:rsid w:val="006E330C"/>
    <w:rsid w:val="006E3DD8"/>
    <w:rsid w:val="006E793F"/>
    <w:rsid w:val="006F0154"/>
    <w:rsid w:val="006F608D"/>
    <w:rsid w:val="006F7944"/>
    <w:rsid w:val="006F7D0A"/>
    <w:rsid w:val="00704121"/>
    <w:rsid w:val="00705BB5"/>
    <w:rsid w:val="00707085"/>
    <w:rsid w:val="00707C38"/>
    <w:rsid w:val="0071216C"/>
    <w:rsid w:val="0071326F"/>
    <w:rsid w:val="007153D7"/>
    <w:rsid w:val="007209AC"/>
    <w:rsid w:val="00720ED4"/>
    <w:rsid w:val="007210C5"/>
    <w:rsid w:val="00722736"/>
    <w:rsid w:val="007304CC"/>
    <w:rsid w:val="00741986"/>
    <w:rsid w:val="0074488F"/>
    <w:rsid w:val="00745AA8"/>
    <w:rsid w:val="007503E0"/>
    <w:rsid w:val="007510EC"/>
    <w:rsid w:val="0075233C"/>
    <w:rsid w:val="0075251C"/>
    <w:rsid w:val="0075256A"/>
    <w:rsid w:val="00752DCD"/>
    <w:rsid w:val="007569DE"/>
    <w:rsid w:val="0075723C"/>
    <w:rsid w:val="0076146A"/>
    <w:rsid w:val="00761577"/>
    <w:rsid w:val="0076350E"/>
    <w:rsid w:val="00763F36"/>
    <w:rsid w:val="00766B6D"/>
    <w:rsid w:val="00775BDF"/>
    <w:rsid w:val="0077614D"/>
    <w:rsid w:val="00782C8F"/>
    <w:rsid w:val="00785F78"/>
    <w:rsid w:val="0078659D"/>
    <w:rsid w:val="007869EC"/>
    <w:rsid w:val="00791ED8"/>
    <w:rsid w:val="0079591B"/>
    <w:rsid w:val="007A1E58"/>
    <w:rsid w:val="007A4A9D"/>
    <w:rsid w:val="007A5C7E"/>
    <w:rsid w:val="007A63F9"/>
    <w:rsid w:val="007A69A9"/>
    <w:rsid w:val="007A6E2F"/>
    <w:rsid w:val="007A74C3"/>
    <w:rsid w:val="007B0DF2"/>
    <w:rsid w:val="007B3BC5"/>
    <w:rsid w:val="007B6F8D"/>
    <w:rsid w:val="007B778D"/>
    <w:rsid w:val="007C1832"/>
    <w:rsid w:val="007D03DF"/>
    <w:rsid w:val="007D4953"/>
    <w:rsid w:val="007D50F4"/>
    <w:rsid w:val="007D6CBA"/>
    <w:rsid w:val="007D7173"/>
    <w:rsid w:val="007E1216"/>
    <w:rsid w:val="007E2909"/>
    <w:rsid w:val="007E4CD4"/>
    <w:rsid w:val="007E530C"/>
    <w:rsid w:val="007F0E8E"/>
    <w:rsid w:val="007F2149"/>
    <w:rsid w:val="007F4E00"/>
    <w:rsid w:val="0080367E"/>
    <w:rsid w:val="008048CF"/>
    <w:rsid w:val="008079DD"/>
    <w:rsid w:val="0081130F"/>
    <w:rsid w:val="00813095"/>
    <w:rsid w:val="008145AD"/>
    <w:rsid w:val="008146B2"/>
    <w:rsid w:val="008150FB"/>
    <w:rsid w:val="008210B5"/>
    <w:rsid w:val="00824430"/>
    <w:rsid w:val="008246C6"/>
    <w:rsid w:val="00825B1F"/>
    <w:rsid w:val="00827D55"/>
    <w:rsid w:val="00832C84"/>
    <w:rsid w:val="00833680"/>
    <w:rsid w:val="00840EDD"/>
    <w:rsid w:val="0084255F"/>
    <w:rsid w:val="00846AC7"/>
    <w:rsid w:val="00846FB1"/>
    <w:rsid w:val="00854BB6"/>
    <w:rsid w:val="00854FB3"/>
    <w:rsid w:val="00856ACF"/>
    <w:rsid w:val="00857FCA"/>
    <w:rsid w:val="00860F13"/>
    <w:rsid w:val="0086199C"/>
    <w:rsid w:val="00861F8B"/>
    <w:rsid w:val="0086561F"/>
    <w:rsid w:val="00865A7A"/>
    <w:rsid w:val="00865FE1"/>
    <w:rsid w:val="0087069B"/>
    <w:rsid w:val="0087177D"/>
    <w:rsid w:val="00874542"/>
    <w:rsid w:val="008748C7"/>
    <w:rsid w:val="0087521A"/>
    <w:rsid w:val="00877B95"/>
    <w:rsid w:val="008808C0"/>
    <w:rsid w:val="00882255"/>
    <w:rsid w:val="00885101"/>
    <w:rsid w:val="0088712E"/>
    <w:rsid w:val="00890BDE"/>
    <w:rsid w:val="00892AD3"/>
    <w:rsid w:val="00894155"/>
    <w:rsid w:val="008962E7"/>
    <w:rsid w:val="008A1118"/>
    <w:rsid w:val="008A281F"/>
    <w:rsid w:val="008A48D2"/>
    <w:rsid w:val="008A4AF6"/>
    <w:rsid w:val="008A4FF8"/>
    <w:rsid w:val="008A5B2B"/>
    <w:rsid w:val="008A5ED1"/>
    <w:rsid w:val="008A73CE"/>
    <w:rsid w:val="008A7FD1"/>
    <w:rsid w:val="008B042E"/>
    <w:rsid w:val="008B211E"/>
    <w:rsid w:val="008B6D48"/>
    <w:rsid w:val="008C53DC"/>
    <w:rsid w:val="008C7660"/>
    <w:rsid w:val="008C79A7"/>
    <w:rsid w:val="008D4B2A"/>
    <w:rsid w:val="008D5521"/>
    <w:rsid w:val="008D555F"/>
    <w:rsid w:val="008D625D"/>
    <w:rsid w:val="008D650E"/>
    <w:rsid w:val="008D6F9F"/>
    <w:rsid w:val="008E673E"/>
    <w:rsid w:val="008E67D1"/>
    <w:rsid w:val="008E6A41"/>
    <w:rsid w:val="008E6FC1"/>
    <w:rsid w:val="008F15D5"/>
    <w:rsid w:val="008F20EA"/>
    <w:rsid w:val="008F79C4"/>
    <w:rsid w:val="00903990"/>
    <w:rsid w:val="009042A8"/>
    <w:rsid w:val="00904950"/>
    <w:rsid w:val="0091442E"/>
    <w:rsid w:val="00915E5E"/>
    <w:rsid w:val="009166B8"/>
    <w:rsid w:val="00916FA5"/>
    <w:rsid w:val="00917915"/>
    <w:rsid w:val="00920684"/>
    <w:rsid w:val="009216E6"/>
    <w:rsid w:val="009224EC"/>
    <w:rsid w:val="00922DB7"/>
    <w:rsid w:val="0092684A"/>
    <w:rsid w:val="00927654"/>
    <w:rsid w:val="0093066E"/>
    <w:rsid w:val="00936084"/>
    <w:rsid w:val="00937FAB"/>
    <w:rsid w:val="0094094D"/>
    <w:rsid w:val="00942AB8"/>
    <w:rsid w:val="0094548C"/>
    <w:rsid w:val="00945CAF"/>
    <w:rsid w:val="00946AC9"/>
    <w:rsid w:val="00947448"/>
    <w:rsid w:val="00952B38"/>
    <w:rsid w:val="00952C99"/>
    <w:rsid w:val="009553DE"/>
    <w:rsid w:val="009619EB"/>
    <w:rsid w:val="00965333"/>
    <w:rsid w:val="009712EF"/>
    <w:rsid w:val="009727BF"/>
    <w:rsid w:val="00973321"/>
    <w:rsid w:val="00975C2E"/>
    <w:rsid w:val="009770EB"/>
    <w:rsid w:val="00977270"/>
    <w:rsid w:val="009806E1"/>
    <w:rsid w:val="009824F2"/>
    <w:rsid w:val="00983080"/>
    <w:rsid w:val="00986AA3"/>
    <w:rsid w:val="00993B24"/>
    <w:rsid w:val="0099611F"/>
    <w:rsid w:val="009A083F"/>
    <w:rsid w:val="009A135C"/>
    <w:rsid w:val="009A67E7"/>
    <w:rsid w:val="009A7BC8"/>
    <w:rsid w:val="009C2A8B"/>
    <w:rsid w:val="009C603A"/>
    <w:rsid w:val="009C74CD"/>
    <w:rsid w:val="009D048F"/>
    <w:rsid w:val="009D162F"/>
    <w:rsid w:val="009D1B04"/>
    <w:rsid w:val="009D23FF"/>
    <w:rsid w:val="009D401F"/>
    <w:rsid w:val="009D5B42"/>
    <w:rsid w:val="009D68FA"/>
    <w:rsid w:val="009E1E4F"/>
    <w:rsid w:val="009E32CF"/>
    <w:rsid w:val="009E4261"/>
    <w:rsid w:val="009E49DC"/>
    <w:rsid w:val="009E4FC2"/>
    <w:rsid w:val="009E5309"/>
    <w:rsid w:val="009F44AE"/>
    <w:rsid w:val="009F59B9"/>
    <w:rsid w:val="00A02529"/>
    <w:rsid w:val="00A02EF2"/>
    <w:rsid w:val="00A03341"/>
    <w:rsid w:val="00A04D5E"/>
    <w:rsid w:val="00A10DDF"/>
    <w:rsid w:val="00A11172"/>
    <w:rsid w:val="00A1219E"/>
    <w:rsid w:val="00A12E55"/>
    <w:rsid w:val="00A13D9E"/>
    <w:rsid w:val="00A168D7"/>
    <w:rsid w:val="00A20F81"/>
    <w:rsid w:val="00A2411A"/>
    <w:rsid w:val="00A242E4"/>
    <w:rsid w:val="00A24437"/>
    <w:rsid w:val="00A24CA0"/>
    <w:rsid w:val="00A25D4B"/>
    <w:rsid w:val="00A26339"/>
    <w:rsid w:val="00A33601"/>
    <w:rsid w:val="00A3362A"/>
    <w:rsid w:val="00A34251"/>
    <w:rsid w:val="00A35278"/>
    <w:rsid w:val="00A36257"/>
    <w:rsid w:val="00A3654B"/>
    <w:rsid w:val="00A37045"/>
    <w:rsid w:val="00A37B70"/>
    <w:rsid w:val="00A40AC7"/>
    <w:rsid w:val="00A4340A"/>
    <w:rsid w:val="00A435C7"/>
    <w:rsid w:val="00A4401E"/>
    <w:rsid w:val="00A537BD"/>
    <w:rsid w:val="00A55607"/>
    <w:rsid w:val="00A569B2"/>
    <w:rsid w:val="00A60CDA"/>
    <w:rsid w:val="00A611A4"/>
    <w:rsid w:val="00A61F09"/>
    <w:rsid w:val="00A637ED"/>
    <w:rsid w:val="00A63E1A"/>
    <w:rsid w:val="00A643DC"/>
    <w:rsid w:val="00A6695B"/>
    <w:rsid w:val="00A72703"/>
    <w:rsid w:val="00A727F6"/>
    <w:rsid w:val="00A72E71"/>
    <w:rsid w:val="00A7464B"/>
    <w:rsid w:val="00A76432"/>
    <w:rsid w:val="00A770C0"/>
    <w:rsid w:val="00A84FC6"/>
    <w:rsid w:val="00A8528E"/>
    <w:rsid w:val="00A90BD9"/>
    <w:rsid w:val="00A90E5E"/>
    <w:rsid w:val="00A9101B"/>
    <w:rsid w:val="00A931BF"/>
    <w:rsid w:val="00A94A49"/>
    <w:rsid w:val="00A95C5E"/>
    <w:rsid w:val="00AA1815"/>
    <w:rsid w:val="00AA1D3E"/>
    <w:rsid w:val="00AA20E7"/>
    <w:rsid w:val="00AA39F9"/>
    <w:rsid w:val="00AA79D3"/>
    <w:rsid w:val="00AB0931"/>
    <w:rsid w:val="00AB46FF"/>
    <w:rsid w:val="00AB4DC4"/>
    <w:rsid w:val="00AB5C9B"/>
    <w:rsid w:val="00AC0159"/>
    <w:rsid w:val="00AC0276"/>
    <w:rsid w:val="00AC0312"/>
    <w:rsid w:val="00AC0449"/>
    <w:rsid w:val="00AC0DC3"/>
    <w:rsid w:val="00AD035F"/>
    <w:rsid w:val="00AD2497"/>
    <w:rsid w:val="00AD5C04"/>
    <w:rsid w:val="00AD5EB4"/>
    <w:rsid w:val="00AD667B"/>
    <w:rsid w:val="00AD69E8"/>
    <w:rsid w:val="00AE36B4"/>
    <w:rsid w:val="00AE63E2"/>
    <w:rsid w:val="00AE7976"/>
    <w:rsid w:val="00AF04C9"/>
    <w:rsid w:val="00AF19A2"/>
    <w:rsid w:val="00AF1DC4"/>
    <w:rsid w:val="00AF26B6"/>
    <w:rsid w:val="00AF2978"/>
    <w:rsid w:val="00AF2979"/>
    <w:rsid w:val="00AF3189"/>
    <w:rsid w:val="00AF5BF8"/>
    <w:rsid w:val="00B0375C"/>
    <w:rsid w:val="00B052CB"/>
    <w:rsid w:val="00B13D22"/>
    <w:rsid w:val="00B156C3"/>
    <w:rsid w:val="00B15F67"/>
    <w:rsid w:val="00B1624F"/>
    <w:rsid w:val="00B20F5D"/>
    <w:rsid w:val="00B21184"/>
    <w:rsid w:val="00B224C5"/>
    <w:rsid w:val="00B325CD"/>
    <w:rsid w:val="00B36C0F"/>
    <w:rsid w:val="00B37793"/>
    <w:rsid w:val="00B41203"/>
    <w:rsid w:val="00B4561E"/>
    <w:rsid w:val="00B4768D"/>
    <w:rsid w:val="00B518E5"/>
    <w:rsid w:val="00B519AF"/>
    <w:rsid w:val="00B51E1F"/>
    <w:rsid w:val="00B52601"/>
    <w:rsid w:val="00B57032"/>
    <w:rsid w:val="00B571D0"/>
    <w:rsid w:val="00B60222"/>
    <w:rsid w:val="00B62CFB"/>
    <w:rsid w:val="00B64158"/>
    <w:rsid w:val="00B662A5"/>
    <w:rsid w:val="00B662F5"/>
    <w:rsid w:val="00B7000C"/>
    <w:rsid w:val="00B704BC"/>
    <w:rsid w:val="00B71D2B"/>
    <w:rsid w:val="00B747FF"/>
    <w:rsid w:val="00B75A58"/>
    <w:rsid w:val="00B760D5"/>
    <w:rsid w:val="00B77495"/>
    <w:rsid w:val="00B80951"/>
    <w:rsid w:val="00B83B2C"/>
    <w:rsid w:val="00B92049"/>
    <w:rsid w:val="00B94740"/>
    <w:rsid w:val="00B95002"/>
    <w:rsid w:val="00B96825"/>
    <w:rsid w:val="00B97F75"/>
    <w:rsid w:val="00BA0A4F"/>
    <w:rsid w:val="00BA1CAE"/>
    <w:rsid w:val="00BA33BB"/>
    <w:rsid w:val="00BA4830"/>
    <w:rsid w:val="00BA5C4C"/>
    <w:rsid w:val="00BA6E22"/>
    <w:rsid w:val="00BB1460"/>
    <w:rsid w:val="00BB362C"/>
    <w:rsid w:val="00BB5942"/>
    <w:rsid w:val="00BB6716"/>
    <w:rsid w:val="00BB7D61"/>
    <w:rsid w:val="00BC0A03"/>
    <w:rsid w:val="00BC4A42"/>
    <w:rsid w:val="00BC5BB4"/>
    <w:rsid w:val="00BD4139"/>
    <w:rsid w:val="00BE059A"/>
    <w:rsid w:val="00BE1981"/>
    <w:rsid w:val="00BE1A28"/>
    <w:rsid w:val="00BE2DA6"/>
    <w:rsid w:val="00BE2E86"/>
    <w:rsid w:val="00BE320B"/>
    <w:rsid w:val="00BE56E9"/>
    <w:rsid w:val="00BE63CF"/>
    <w:rsid w:val="00BE7014"/>
    <w:rsid w:val="00BE7991"/>
    <w:rsid w:val="00BF10FE"/>
    <w:rsid w:val="00BF25C7"/>
    <w:rsid w:val="00C009B7"/>
    <w:rsid w:val="00C02B8F"/>
    <w:rsid w:val="00C035ED"/>
    <w:rsid w:val="00C03B31"/>
    <w:rsid w:val="00C04E32"/>
    <w:rsid w:val="00C116B1"/>
    <w:rsid w:val="00C15A3F"/>
    <w:rsid w:val="00C20630"/>
    <w:rsid w:val="00C224A4"/>
    <w:rsid w:val="00C22F7A"/>
    <w:rsid w:val="00C23683"/>
    <w:rsid w:val="00C2666F"/>
    <w:rsid w:val="00C32020"/>
    <w:rsid w:val="00C32D02"/>
    <w:rsid w:val="00C3408C"/>
    <w:rsid w:val="00C3484D"/>
    <w:rsid w:val="00C351CC"/>
    <w:rsid w:val="00C35435"/>
    <w:rsid w:val="00C37712"/>
    <w:rsid w:val="00C43242"/>
    <w:rsid w:val="00C432FD"/>
    <w:rsid w:val="00C43554"/>
    <w:rsid w:val="00C43CDF"/>
    <w:rsid w:val="00C4608E"/>
    <w:rsid w:val="00C512B2"/>
    <w:rsid w:val="00C53B5D"/>
    <w:rsid w:val="00C571FB"/>
    <w:rsid w:val="00C5734F"/>
    <w:rsid w:val="00C57381"/>
    <w:rsid w:val="00C61D56"/>
    <w:rsid w:val="00C62B69"/>
    <w:rsid w:val="00C644B7"/>
    <w:rsid w:val="00C64564"/>
    <w:rsid w:val="00C66D6F"/>
    <w:rsid w:val="00C67BCA"/>
    <w:rsid w:val="00C71377"/>
    <w:rsid w:val="00C73C87"/>
    <w:rsid w:val="00C74B6F"/>
    <w:rsid w:val="00C779D7"/>
    <w:rsid w:val="00C832C9"/>
    <w:rsid w:val="00C86FF0"/>
    <w:rsid w:val="00C8703F"/>
    <w:rsid w:val="00C87EF3"/>
    <w:rsid w:val="00C9015F"/>
    <w:rsid w:val="00C90CD7"/>
    <w:rsid w:val="00C912F9"/>
    <w:rsid w:val="00C91B22"/>
    <w:rsid w:val="00C91F3C"/>
    <w:rsid w:val="00C9241B"/>
    <w:rsid w:val="00C9370B"/>
    <w:rsid w:val="00C954DA"/>
    <w:rsid w:val="00C96DDF"/>
    <w:rsid w:val="00C97569"/>
    <w:rsid w:val="00CA199D"/>
    <w:rsid w:val="00CA19D1"/>
    <w:rsid w:val="00CA4D9C"/>
    <w:rsid w:val="00CB05A7"/>
    <w:rsid w:val="00CB06A4"/>
    <w:rsid w:val="00CB325B"/>
    <w:rsid w:val="00CB3EFF"/>
    <w:rsid w:val="00CB64FF"/>
    <w:rsid w:val="00CB6F47"/>
    <w:rsid w:val="00CB7078"/>
    <w:rsid w:val="00CB711D"/>
    <w:rsid w:val="00CB7902"/>
    <w:rsid w:val="00CC014B"/>
    <w:rsid w:val="00CC0E81"/>
    <w:rsid w:val="00CC21D8"/>
    <w:rsid w:val="00CC3369"/>
    <w:rsid w:val="00CC5343"/>
    <w:rsid w:val="00CC59D7"/>
    <w:rsid w:val="00CC6338"/>
    <w:rsid w:val="00CC78DE"/>
    <w:rsid w:val="00CD04D9"/>
    <w:rsid w:val="00CD0F93"/>
    <w:rsid w:val="00CD6D6E"/>
    <w:rsid w:val="00CD6F23"/>
    <w:rsid w:val="00CE5BE2"/>
    <w:rsid w:val="00CF640B"/>
    <w:rsid w:val="00CF6B5A"/>
    <w:rsid w:val="00D014B0"/>
    <w:rsid w:val="00D027AF"/>
    <w:rsid w:val="00D0323E"/>
    <w:rsid w:val="00D06652"/>
    <w:rsid w:val="00D07FA6"/>
    <w:rsid w:val="00D128AF"/>
    <w:rsid w:val="00D16ADF"/>
    <w:rsid w:val="00D17C53"/>
    <w:rsid w:val="00D17D57"/>
    <w:rsid w:val="00D2341D"/>
    <w:rsid w:val="00D252DA"/>
    <w:rsid w:val="00D25E0E"/>
    <w:rsid w:val="00D302EB"/>
    <w:rsid w:val="00D31679"/>
    <w:rsid w:val="00D31BA9"/>
    <w:rsid w:val="00D320C8"/>
    <w:rsid w:val="00D330B6"/>
    <w:rsid w:val="00D3672F"/>
    <w:rsid w:val="00D40ABA"/>
    <w:rsid w:val="00D40FE2"/>
    <w:rsid w:val="00D440FA"/>
    <w:rsid w:val="00D44BCF"/>
    <w:rsid w:val="00D46726"/>
    <w:rsid w:val="00D46E73"/>
    <w:rsid w:val="00D5548D"/>
    <w:rsid w:val="00D56572"/>
    <w:rsid w:val="00D60AD3"/>
    <w:rsid w:val="00D60F81"/>
    <w:rsid w:val="00D63951"/>
    <w:rsid w:val="00D63BF2"/>
    <w:rsid w:val="00D6509A"/>
    <w:rsid w:val="00D67348"/>
    <w:rsid w:val="00D70A26"/>
    <w:rsid w:val="00D70EAA"/>
    <w:rsid w:val="00D73BB4"/>
    <w:rsid w:val="00D75FEC"/>
    <w:rsid w:val="00D76B98"/>
    <w:rsid w:val="00D81E01"/>
    <w:rsid w:val="00D82E63"/>
    <w:rsid w:val="00D835A0"/>
    <w:rsid w:val="00D84F2A"/>
    <w:rsid w:val="00D86905"/>
    <w:rsid w:val="00D86F2C"/>
    <w:rsid w:val="00D94301"/>
    <w:rsid w:val="00D96248"/>
    <w:rsid w:val="00D97EF3"/>
    <w:rsid w:val="00DA0680"/>
    <w:rsid w:val="00DA36F6"/>
    <w:rsid w:val="00DA48F0"/>
    <w:rsid w:val="00DA493E"/>
    <w:rsid w:val="00DB0C8D"/>
    <w:rsid w:val="00DB6AF2"/>
    <w:rsid w:val="00DC1599"/>
    <w:rsid w:val="00DC1611"/>
    <w:rsid w:val="00DD3C53"/>
    <w:rsid w:val="00DD6B73"/>
    <w:rsid w:val="00DD74DD"/>
    <w:rsid w:val="00DE13A4"/>
    <w:rsid w:val="00DE745D"/>
    <w:rsid w:val="00DF0774"/>
    <w:rsid w:val="00DF1036"/>
    <w:rsid w:val="00DF2E29"/>
    <w:rsid w:val="00DF3027"/>
    <w:rsid w:val="00DF4644"/>
    <w:rsid w:val="00DF68F6"/>
    <w:rsid w:val="00DF7A83"/>
    <w:rsid w:val="00E012B4"/>
    <w:rsid w:val="00E05451"/>
    <w:rsid w:val="00E05651"/>
    <w:rsid w:val="00E100F6"/>
    <w:rsid w:val="00E10704"/>
    <w:rsid w:val="00E11BA5"/>
    <w:rsid w:val="00E17CBD"/>
    <w:rsid w:val="00E20425"/>
    <w:rsid w:val="00E21768"/>
    <w:rsid w:val="00E25DCB"/>
    <w:rsid w:val="00E2613B"/>
    <w:rsid w:val="00E313DF"/>
    <w:rsid w:val="00E330E0"/>
    <w:rsid w:val="00E36C70"/>
    <w:rsid w:val="00E4156E"/>
    <w:rsid w:val="00E44D61"/>
    <w:rsid w:val="00E453F2"/>
    <w:rsid w:val="00E460AD"/>
    <w:rsid w:val="00E61925"/>
    <w:rsid w:val="00E6363B"/>
    <w:rsid w:val="00E65C0E"/>
    <w:rsid w:val="00E65FB9"/>
    <w:rsid w:val="00E711C0"/>
    <w:rsid w:val="00E730FC"/>
    <w:rsid w:val="00E746F0"/>
    <w:rsid w:val="00E809B9"/>
    <w:rsid w:val="00E82A15"/>
    <w:rsid w:val="00E85445"/>
    <w:rsid w:val="00E87589"/>
    <w:rsid w:val="00E938FF"/>
    <w:rsid w:val="00E93DFE"/>
    <w:rsid w:val="00E9718A"/>
    <w:rsid w:val="00EA2124"/>
    <w:rsid w:val="00EA2B12"/>
    <w:rsid w:val="00EA34DC"/>
    <w:rsid w:val="00EA456C"/>
    <w:rsid w:val="00EA5017"/>
    <w:rsid w:val="00EA6BED"/>
    <w:rsid w:val="00EB14F0"/>
    <w:rsid w:val="00EB3844"/>
    <w:rsid w:val="00EB5A9F"/>
    <w:rsid w:val="00EC23E0"/>
    <w:rsid w:val="00EC573F"/>
    <w:rsid w:val="00EC5C8D"/>
    <w:rsid w:val="00ED106C"/>
    <w:rsid w:val="00ED2D34"/>
    <w:rsid w:val="00ED4805"/>
    <w:rsid w:val="00ED57F6"/>
    <w:rsid w:val="00ED6475"/>
    <w:rsid w:val="00ED6C51"/>
    <w:rsid w:val="00ED6DA1"/>
    <w:rsid w:val="00EE1E0F"/>
    <w:rsid w:val="00EF0AF8"/>
    <w:rsid w:val="00EF1C8E"/>
    <w:rsid w:val="00EF207D"/>
    <w:rsid w:val="00EF41C0"/>
    <w:rsid w:val="00EF4258"/>
    <w:rsid w:val="00EF6D31"/>
    <w:rsid w:val="00F02237"/>
    <w:rsid w:val="00F046F1"/>
    <w:rsid w:val="00F05E0E"/>
    <w:rsid w:val="00F0655E"/>
    <w:rsid w:val="00F072E2"/>
    <w:rsid w:val="00F079A6"/>
    <w:rsid w:val="00F10236"/>
    <w:rsid w:val="00F10EDA"/>
    <w:rsid w:val="00F15811"/>
    <w:rsid w:val="00F20837"/>
    <w:rsid w:val="00F22423"/>
    <w:rsid w:val="00F24C72"/>
    <w:rsid w:val="00F30267"/>
    <w:rsid w:val="00F31D22"/>
    <w:rsid w:val="00F348B2"/>
    <w:rsid w:val="00F34BF0"/>
    <w:rsid w:val="00F34ED8"/>
    <w:rsid w:val="00F36BF7"/>
    <w:rsid w:val="00F4095A"/>
    <w:rsid w:val="00F452CC"/>
    <w:rsid w:val="00F45845"/>
    <w:rsid w:val="00F50189"/>
    <w:rsid w:val="00F508FC"/>
    <w:rsid w:val="00F510B7"/>
    <w:rsid w:val="00F53571"/>
    <w:rsid w:val="00F54044"/>
    <w:rsid w:val="00F57237"/>
    <w:rsid w:val="00F576E7"/>
    <w:rsid w:val="00F73D1C"/>
    <w:rsid w:val="00F763FC"/>
    <w:rsid w:val="00F76B4A"/>
    <w:rsid w:val="00F772C1"/>
    <w:rsid w:val="00F8026D"/>
    <w:rsid w:val="00F8245F"/>
    <w:rsid w:val="00F82E40"/>
    <w:rsid w:val="00F868F9"/>
    <w:rsid w:val="00F91629"/>
    <w:rsid w:val="00F91A11"/>
    <w:rsid w:val="00F91E2A"/>
    <w:rsid w:val="00F93554"/>
    <w:rsid w:val="00F9595E"/>
    <w:rsid w:val="00F96C39"/>
    <w:rsid w:val="00F96E41"/>
    <w:rsid w:val="00FA153F"/>
    <w:rsid w:val="00FA1941"/>
    <w:rsid w:val="00FA1D78"/>
    <w:rsid w:val="00FA1F7E"/>
    <w:rsid w:val="00FA280F"/>
    <w:rsid w:val="00FA5289"/>
    <w:rsid w:val="00FA6213"/>
    <w:rsid w:val="00FB2186"/>
    <w:rsid w:val="00FB7E03"/>
    <w:rsid w:val="00FC2B26"/>
    <w:rsid w:val="00FD0133"/>
    <w:rsid w:val="00FD25FE"/>
    <w:rsid w:val="00FD31BF"/>
    <w:rsid w:val="00FD3F6D"/>
    <w:rsid w:val="00FD6206"/>
    <w:rsid w:val="00FE1318"/>
    <w:rsid w:val="00FE208F"/>
    <w:rsid w:val="00FE54CD"/>
    <w:rsid w:val="00FE5DF1"/>
    <w:rsid w:val="00FE6DF6"/>
    <w:rsid w:val="00FF32C3"/>
    <w:rsid w:val="00FF3F8B"/>
    <w:rsid w:val="00FF5CD0"/>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D55A4"/>
  <w15:chartTrackingRefBased/>
  <w15:docId w15:val="{D66E1EDD-833D-4972-AF5A-8514B30B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qFormat/>
    <w:rsid w:val="0047680F"/>
    <w:pPr>
      <w:keepNext/>
      <w:spacing w:before="240" w:after="240"/>
      <w:outlineLvl w:val="1"/>
    </w:pPr>
    <w:rPr>
      <w:rFonts w:cs="Arial"/>
      <w:bCs/>
      <w:iCs/>
      <w:caps/>
      <w:szCs w:val="28"/>
      <w:lang w:eastAsia="fr-FR"/>
    </w:rPr>
  </w:style>
  <w:style w:type="paragraph" w:styleId="Titre3">
    <w:name w:val="heading 3"/>
    <w:basedOn w:val="Normal"/>
    <w:next w:val="corpsdedcision"/>
    <w:qFormat/>
    <w:rsid w:val="00EA456C"/>
    <w:pPr>
      <w:keepNext/>
      <w:spacing w:before="240" w:after="240"/>
      <w:outlineLvl w:val="2"/>
    </w:pPr>
    <w:rPr>
      <w:rFonts w:cs="Arial"/>
      <w:b/>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basedOn w:val="Policepardfaut"/>
    <w:link w:val="Notedebasdepage"/>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link w:val="CitationenretraitCar"/>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link w:val="CitationendoubleretraitCar"/>
    <w:rsid w:val="008048CF"/>
    <w:pPr>
      <w:spacing w:before="0" w:after="0"/>
      <w:ind w:left="1440" w:right="1440"/>
    </w:pPr>
    <w:rPr>
      <w:sz w:val="18"/>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link w:val="ParagrapheCar"/>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link w:val="ParagConclusionCar"/>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basedOn w:val="Policepardfaut"/>
    <w:locked/>
    <w:rsid w:val="00ED57F6"/>
    <w:rPr>
      <w:rFonts w:ascii="Arial" w:hAnsi="Arial" w:cs="Times New Roman"/>
      <w:sz w:val="24"/>
    </w:rPr>
  </w:style>
  <w:style w:type="character" w:customStyle="1" w:styleId="CitationenretraitCar">
    <w:name w:val="Citation en retrait Car"/>
    <w:basedOn w:val="Policepardfaut"/>
    <w:link w:val="Citationenretrait"/>
    <w:rsid w:val="00DB6AF2"/>
    <w:rPr>
      <w:rFonts w:ascii="Arial" w:hAnsi="Arial"/>
      <w:kern w:val="24"/>
      <w:sz w:val="22"/>
      <w:lang w:val="fr-CA" w:eastAsia="fr-FR" w:bidi="ar-SA"/>
    </w:rPr>
  </w:style>
  <w:style w:type="character" w:customStyle="1" w:styleId="CitationendoubleretraitCar">
    <w:name w:val="Citation en double retrait Car"/>
    <w:basedOn w:val="CitationenretraitCar"/>
    <w:link w:val="Citationendoubleretrait"/>
    <w:rsid w:val="00DB6AF2"/>
    <w:rPr>
      <w:rFonts w:ascii="Arial" w:hAnsi="Arial"/>
      <w:kern w:val="24"/>
      <w:sz w:val="18"/>
      <w:lang w:val="fr-CA" w:eastAsia="fr-FR" w:bidi="ar-SA"/>
    </w:rPr>
  </w:style>
  <w:style w:type="character" w:styleId="Marquedecommentaire">
    <w:name w:val="annotation reference"/>
    <w:basedOn w:val="Policepardfaut"/>
    <w:rsid w:val="00455FA3"/>
    <w:rPr>
      <w:sz w:val="16"/>
      <w:szCs w:val="16"/>
    </w:rPr>
  </w:style>
  <w:style w:type="paragraph" w:styleId="Commentaire">
    <w:name w:val="annotation text"/>
    <w:basedOn w:val="Normal"/>
    <w:link w:val="CommentaireCar"/>
    <w:rsid w:val="00455FA3"/>
    <w:rPr>
      <w:sz w:val="20"/>
    </w:rPr>
  </w:style>
  <w:style w:type="character" w:customStyle="1" w:styleId="CommentaireCar">
    <w:name w:val="Commentaire Car"/>
    <w:basedOn w:val="Policepardfaut"/>
    <w:link w:val="Commentaire"/>
    <w:rsid w:val="00455FA3"/>
    <w:rPr>
      <w:rFonts w:ascii="Arial" w:hAnsi="Arial"/>
    </w:rPr>
  </w:style>
  <w:style w:type="paragraph" w:styleId="Objetducommentaire">
    <w:name w:val="annotation subject"/>
    <w:basedOn w:val="Commentaire"/>
    <w:next w:val="Commentaire"/>
    <w:link w:val="ObjetducommentaireCar"/>
    <w:rsid w:val="00455FA3"/>
    <w:rPr>
      <w:b/>
      <w:bCs/>
    </w:rPr>
  </w:style>
  <w:style w:type="character" w:customStyle="1" w:styleId="ObjetducommentaireCar">
    <w:name w:val="Objet du commentaire Car"/>
    <w:basedOn w:val="CommentaireCar"/>
    <w:link w:val="Objetducommentaire"/>
    <w:rsid w:val="00455FA3"/>
    <w:rPr>
      <w:rFonts w:ascii="Arial" w:hAnsi="Arial"/>
      <w:b/>
      <w:bCs/>
    </w:rPr>
  </w:style>
  <w:style w:type="paragraph" w:styleId="Textedebulles">
    <w:name w:val="Balloon Text"/>
    <w:basedOn w:val="Normal"/>
    <w:link w:val="TextedebullesCar"/>
    <w:rsid w:val="00455FA3"/>
    <w:rPr>
      <w:rFonts w:ascii="Segoe UI" w:hAnsi="Segoe UI" w:cs="Segoe UI"/>
      <w:sz w:val="18"/>
      <w:szCs w:val="18"/>
    </w:rPr>
  </w:style>
  <w:style w:type="character" w:customStyle="1" w:styleId="TextedebullesCar">
    <w:name w:val="Texte de bulles Car"/>
    <w:basedOn w:val="Policepardfaut"/>
    <w:link w:val="Textedebulles"/>
    <w:rsid w:val="00455FA3"/>
    <w:rPr>
      <w:rFonts w:ascii="Segoe UI" w:hAnsi="Segoe UI" w:cs="Segoe UI"/>
      <w:sz w:val="18"/>
      <w:szCs w:val="18"/>
    </w:rPr>
  </w:style>
  <w:style w:type="character" w:customStyle="1" w:styleId="ParagrapheCar">
    <w:name w:val="Paragraphe Car"/>
    <w:link w:val="Paragraphe"/>
    <w:rsid w:val="009553DE"/>
    <w:rPr>
      <w:rFonts w:ascii="Arial" w:hAnsi="Arial"/>
      <w:kern w:val="28"/>
      <w:sz w:val="24"/>
      <w:lang w:eastAsia="fr-FR"/>
    </w:rPr>
  </w:style>
  <w:style w:type="character" w:customStyle="1" w:styleId="ParagConclusionCar">
    <w:name w:val="ParagConclusion Car"/>
    <w:link w:val="ParagConclusion"/>
    <w:rsid w:val="009553DE"/>
    <w:rPr>
      <w:rFonts w:ascii="Arial" w:eastAsia="Calibri"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440969">
      <w:bodyDiv w:val="1"/>
      <w:marLeft w:val="0"/>
      <w:marRight w:val="0"/>
      <w:marTop w:val="0"/>
      <w:marBottom w:val="0"/>
      <w:divBdr>
        <w:top w:val="none" w:sz="0" w:space="0" w:color="auto"/>
        <w:left w:val="none" w:sz="0" w:space="0" w:color="auto"/>
        <w:bottom w:val="none" w:sz="0" w:space="0" w:color="auto"/>
        <w:right w:val="none" w:sz="0" w:space="0" w:color="auto"/>
      </w:divBdr>
    </w:div>
    <w:div w:id="8264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T\deci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5AB5-8AB8-44F2-9105-4C8D308E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decision.dot</Template>
  <TotalTime>172</TotalTime>
  <Pages>13</Pages>
  <Words>3662</Words>
  <Characters>19919</Characters>
  <Application>Microsoft Office Word</Application>
  <DocSecurity>0</DocSecurity>
  <Lines>165</Lines>
  <Paragraphs>47</Paragraphs>
  <ScaleCrop>false</ScaleCrop>
  <HeadingPairs>
    <vt:vector size="2" baseType="variant">
      <vt:variant>
        <vt:lpstr>Titre</vt:lpstr>
      </vt:variant>
      <vt:variant>
        <vt:i4>1</vt:i4>
      </vt:variant>
    </vt:vector>
  </HeadingPairs>
  <TitlesOfParts>
    <vt:vector size="1" baseType="lpstr">
      <vt:lpstr>Canevas de décision TAT</vt:lpstr>
    </vt:vector>
  </TitlesOfParts>
  <Company>TAT</Company>
  <LinksUpToDate>false</LinksUpToDate>
  <CharactersWithSpaces>23534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de décision TAT</dc:title>
  <dc:subject/>
  <dc:creator>Mireille Goupil</dc:creator>
  <cp:keywords/>
  <dc:description/>
  <cp:lastModifiedBy>Marie-Pier Lebeau</cp:lastModifiedBy>
  <cp:revision>24</cp:revision>
  <dcterms:created xsi:type="dcterms:W3CDTF">2023-07-20T20:13:00Z</dcterms:created>
  <dcterms:modified xsi:type="dcterms:W3CDTF">2023-08-09T14:05:00Z</dcterms:modified>
</cp:coreProperties>
</file>